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9FE8" w14:textId="77777777" w:rsidR="00050657" w:rsidRPr="00DA4924" w:rsidRDefault="00050657" w:rsidP="00FA015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F32D27" w:rsidRPr="00DA4924" w14:paraId="5716B662" w14:textId="77777777" w:rsidTr="008F5540">
        <w:tc>
          <w:tcPr>
            <w:tcW w:w="3082" w:type="dxa"/>
            <w:gridSpan w:val="2"/>
            <w:shd w:val="clear" w:color="auto" w:fill="auto"/>
            <w:vAlign w:val="center"/>
          </w:tcPr>
          <w:p w14:paraId="42D265FE" w14:textId="77777777" w:rsidR="00F32D27" w:rsidRPr="00DA4924" w:rsidRDefault="005E79EA" w:rsidP="008F55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924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D7B9334" wp14:editId="68CB201C">
                  <wp:extent cx="249555" cy="329565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C9F8B88" w14:textId="77777777" w:rsidR="00F32D27" w:rsidRPr="00DA4924" w:rsidRDefault="00F32D27" w:rsidP="008F55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14:paraId="2FB8941C" w14:textId="77777777" w:rsidR="00F32D27" w:rsidRPr="00DA4924" w:rsidRDefault="005E79EA" w:rsidP="008F5540">
            <w:pPr>
              <w:rPr>
                <w:rFonts w:ascii="Times New Roman" w:hAnsi="Times New Roman"/>
                <w:sz w:val="22"/>
                <w:szCs w:val="22"/>
              </w:rPr>
            </w:pPr>
            <w:r w:rsidRPr="00DA4924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39BB36E" wp14:editId="173F53F6">
                  <wp:extent cx="1451610" cy="44577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7" w:rsidRPr="00DA4924" w14:paraId="2AAF1986" w14:textId="77777777" w:rsidTr="008F5540">
        <w:tc>
          <w:tcPr>
            <w:tcW w:w="3082" w:type="dxa"/>
            <w:gridSpan w:val="2"/>
            <w:shd w:val="clear" w:color="auto" w:fill="auto"/>
            <w:vAlign w:val="center"/>
          </w:tcPr>
          <w:p w14:paraId="1D5FC0FE" w14:textId="77777777" w:rsidR="00F32D27" w:rsidRPr="00DA4924" w:rsidRDefault="00F32D27" w:rsidP="008F554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DA4924">
              <w:rPr>
                <w:rFonts w:ascii="Times New Roman" w:hAnsi="Times New Roman"/>
                <w:sz w:val="22"/>
                <w:szCs w:val="22"/>
              </w:rPr>
              <w:t>REPUBLIKA HRVATSKA</w:t>
            </w:r>
          </w:p>
          <w:p w14:paraId="7D7B9F9E" w14:textId="77777777" w:rsidR="00F32D27" w:rsidRPr="00DA4924" w:rsidRDefault="00F32D27" w:rsidP="008F55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A4924">
              <w:rPr>
                <w:rFonts w:ascii="Times New Roman" w:hAnsi="Times New Roman"/>
                <w:sz w:val="22"/>
                <w:szCs w:val="22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0AA77E51" w14:textId="77777777" w:rsidR="00F32D27" w:rsidRPr="00DA4924" w:rsidRDefault="00F32D27" w:rsidP="008F55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56A59E19" w14:textId="77777777" w:rsidR="00F32D27" w:rsidRPr="00DA4924" w:rsidRDefault="00F32D27" w:rsidP="008F55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D27" w:rsidRPr="00DA4924" w14:paraId="7ACA0D46" w14:textId="77777777" w:rsidTr="008F5540">
        <w:tc>
          <w:tcPr>
            <w:tcW w:w="636" w:type="dxa"/>
            <w:shd w:val="clear" w:color="auto" w:fill="auto"/>
            <w:vAlign w:val="center"/>
          </w:tcPr>
          <w:p w14:paraId="1A72E780" w14:textId="77777777" w:rsidR="00F32D27" w:rsidRPr="00DA4924" w:rsidRDefault="005E79EA" w:rsidP="008F5540">
            <w:pPr>
              <w:rPr>
                <w:rFonts w:ascii="Times New Roman" w:hAnsi="Times New Roman"/>
                <w:sz w:val="22"/>
                <w:szCs w:val="22"/>
              </w:rPr>
            </w:pPr>
            <w:r w:rsidRPr="00DA4924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384C567" wp14:editId="4795F3BC">
                  <wp:extent cx="266700" cy="30289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527C75B" w14:textId="77777777" w:rsidR="00F32D27" w:rsidRPr="00DA4924" w:rsidRDefault="00F32D27" w:rsidP="008F5540">
            <w:pPr>
              <w:rPr>
                <w:rFonts w:ascii="Times New Roman" w:hAnsi="Times New Roman"/>
                <w:sz w:val="22"/>
                <w:szCs w:val="22"/>
              </w:rPr>
            </w:pPr>
            <w:r w:rsidRPr="00DA4924">
              <w:rPr>
                <w:rFonts w:ascii="Times New Roman" w:hAnsi="Times New Roman"/>
                <w:sz w:val="22"/>
                <w:szCs w:val="22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217CE32" w14:textId="77777777" w:rsidR="00F32D27" w:rsidRPr="00DA4924" w:rsidRDefault="00F32D27" w:rsidP="008F55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064E095E" w14:textId="77777777" w:rsidR="00F32D27" w:rsidRPr="00DA4924" w:rsidRDefault="00F32D27" w:rsidP="008F55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6C2420" w14:textId="77777777" w:rsidR="00F32D27" w:rsidRPr="00DA4924" w:rsidRDefault="00F32D27" w:rsidP="00F32D27">
      <w:pPr>
        <w:rPr>
          <w:rFonts w:ascii="Times New Roman" w:hAnsi="Times New Roman"/>
          <w:sz w:val="22"/>
          <w:szCs w:val="22"/>
        </w:rPr>
      </w:pPr>
    </w:p>
    <w:p w14:paraId="33B2B678" w14:textId="0F9A54EF" w:rsidR="00F32D27" w:rsidRPr="00DA4924" w:rsidRDefault="00F32D27" w:rsidP="00F32D27">
      <w:pPr>
        <w:rPr>
          <w:rFonts w:ascii="Times New Roman" w:hAnsi="Times New Roman"/>
          <w:sz w:val="22"/>
          <w:szCs w:val="22"/>
        </w:rPr>
      </w:pPr>
      <w:r w:rsidRPr="00DA4924">
        <w:rPr>
          <w:rFonts w:ascii="Times New Roman" w:hAnsi="Times New Roman"/>
          <w:sz w:val="22"/>
          <w:szCs w:val="22"/>
        </w:rPr>
        <w:t>GRAD</w:t>
      </w:r>
      <w:r w:rsidR="006D3F5B">
        <w:rPr>
          <w:rFonts w:ascii="Times New Roman" w:hAnsi="Times New Roman"/>
          <w:sz w:val="22"/>
          <w:szCs w:val="22"/>
        </w:rPr>
        <w:t>SKO VIJEĆE</w:t>
      </w:r>
    </w:p>
    <w:p w14:paraId="6A0EE113" w14:textId="2EB8FCEA" w:rsidR="00F32D27" w:rsidRPr="00DA4924" w:rsidRDefault="00F32D27" w:rsidP="00F32D27">
      <w:pPr>
        <w:rPr>
          <w:rFonts w:ascii="Times New Roman" w:hAnsi="Times New Roman"/>
          <w:sz w:val="22"/>
          <w:szCs w:val="22"/>
        </w:rPr>
      </w:pPr>
      <w:r w:rsidRPr="00DA4924">
        <w:rPr>
          <w:rFonts w:ascii="Times New Roman" w:hAnsi="Times New Roman"/>
          <w:sz w:val="22"/>
          <w:szCs w:val="22"/>
        </w:rPr>
        <w:t xml:space="preserve">KLASA: </w:t>
      </w:r>
    </w:p>
    <w:p w14:paraId="57DD7AAE" w14:textId="09CB574E" w:rsidR="00F32D27" w:rsidRPr="00DA4924" w:rsidRDefault="00262B27" w:rsidP="00F32D2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URBROJ: </w:t>
      </w:r>
    </w:p>
    <w:p w14:paraId="66B84AD0" w14:textId="13BC90F9" w:rsidR="00F32D27" w:rsidRDefault="00F32D27" w:rsidP="00F32D27">
      <w:pPr>
        <w:rPr>
          <w:rFonts w:ascii="Times New Roman" w:hAnsi="Times New Roman"/>
          <w:sz w:val="22"/>
          <w:szCs w:val="22"/>
        </w:rPr>
      </w:pPr>
      <w:r w:rsidRPr="00DA4924">
        <w:rPr>
          <w:rFonts w:ascii="Times New Roman" w:hAnsi="Times New Roman"/>
          <w:sz w:val="22"/>
          <w:szCs w:val="22"/>
        </w:rPr>
        <w:t xml:space="preserve">Karlovac, </w:t>
      </w:r>
    </w:p>
    <w:p w14:paraId="4412695D" w14:textId="77777777" w:rsidR="00FF1826" w:rsidRPr="00DA4924" w:rsidRDefault="00FF1826" w:rsidP="00F32D27">
      <w:pPr>
        <w:rPr>
          <w:rFonts w:ascii="Times New Roman" w:hAnsi="Times New Roman"/>
          <w:sz w:val="22"/>
          <w:szCs w:val="22"/>
        </w:rPr>
      </w:pPr>
    </w:p>
    <w:p w14:paraId="471AF317" w14:textId="76CF8F62" w:rsidR="00F32D27" w:rsidRPr="00DA4924" w:rsidRDefault="00F32D27" w:rsidP="00FF1826">
      <w:pPr>
        <w:ind w:left="-284"/>
        <w:jc w:val="right"/>
        <w:rPr>
          <w:rFonts w:ascii="Times New Roman" w:hAnsi="Times New Roman"/>
          <w:sz w:val="22"/>
          <w:szCs w:val="22"/>
        </w:rPr>
      </w:pPr>
      <w:r w:rsidRPr="00DA4924">
        <w:rPr>
          <w:rFonts w:ascii="Times New Roman" w:hAnsi="Times New Roman"/>
          <w:b/>
          <w:bCs/>
          <w:sz w:val="22"/>
          <w:szCs w:val="22"/>
        </w:rPr>
        <w:tab/>
      </w:r>
      <w:r w:rsidR="00FF1826">
        <w:rPr>
          <w:rFonts w:ascii="Times New Roman" w:hAnsi="Times New Roman"/>
          <w:b/>
          <w:bCs/>
          <w:sz w:val="22"/>
          <w:szCs w:val="22"/>
        </w:rPr>
        <w:t>PRIJEDLOG</w:t>
      </w:r>
    </w:p>
    <w:p w14:paraId="6FEC97EA" w14:textId="77777777" w:rsidR="00F32D27" w:rsidRPr="00DA4924" w:rsidRDefault="00F32D27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628CCEB0" w14:textId="1160E483" w:rsidR="00FA0154" w:rsidRDefault="00FA0154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4D2B3341" w14:textId="77777777" w:rsidR="00FF1826" w:rsidRPr="00DA4924" w:rsidRDefault="00FF1826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4EE21851" w14:textId="250A1AFF" w:rsidR="00050657" w:rsidRDefault="009B4F30" w:rsidP="00262B27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DA4924">
        <w:rPr>
          <w:rFonts w:ascii="Times New Roman" w:hAnsi="Times New Roman"/>
          <w:sz w:val="22"/>
          <w:szCs w:val="22"/>
        </w:rPr>
        <w:t xml:space="preserve">Na temelju </w:t>
      </w:r>
      <w:r w:rsidR="00A522D5">
        <w:rPr>
          <w:rFonts w:ascii="Times New Roman" w:hAnsi="Times New Roman"/>
          <w:sz w:val="22"/>
          <w:szCs w:val="22"/>
        </w:rPr>
        <w:t xml:space="preserve">članka </w:t>
      </w:r>
      <w:r w:rsidR="00BB355A">
        <w:rPr>
          <w:rFonts w:ascii="Times New Roman" w:hAnsi="Times New Roman"/>
          <w:sz w:val="22"/>
          <w:szCs w:val="22"/>
        </w:rPr>
        <w:t>3</w:t>
      </w:r>
      <w:r w:rsidR="00050657" w:rsidRPr="00DA4924">
        <w:rPr>
          <w:rFonts w:ascii="Times New Roman" w:hAnsi="Times New Roman"/>
          <w:sz w:val="22"/>
          <w:szCs w:val="22"/>
        </w:rPr>
        <w:t>4. i 9</w:t>
      </w:r>
      <w:r w:rsidR="00BB355A">
        <w:rPr>
          <w:rFonts w:ascii="Times New Roman" w:hAnsi="Times New Roman"/>
          <w:sz w:val="22"/>
          <w:szCs w:val="22"/>
        </w:rPr>
        <w:t>7</w:t>
      </w:r>
      <w:r w:rsidR="00050657" w:rsidRPr="00DA4924">
        <w:rPr>
          <w:rFonts w:ascii="Times New Roman" w:hAnsi="Times New Roman"/>
          <w:sz w:val="22"/>
          <w:szCs w:val="22"/>
        </w:rPr>
        <w:t>. Statuta Grada Karlovca (</w:t>
      </w:r>
      <w:r w:rsidR="006D48DC">
        <w:rPr>
          <w:rFonts w:ascii="Times New Roman" w:hAnsi="Times New Roman"/>
          <w:sz w:val="22"/>
          <w:szCs w:val="22"/>
        </w:rPr>
        <w:t>„</w:t>
      </w:r>
      <w:r w:rsidR="00050657" w:rsidRPr="00DA4924">
        <w:rPr>
          <w:rFonts w:ascii="Times New Roman" w:hAnsi="Times New Roman"/>
          <w:sz w:val="22"/>
          <w:szCs w:val="22"/>
        </w:rPr>
        <w:t xml:space="preserve">Glasnik </w:t>
      </w:r>
      <w:r w:rsidR="006D48DC">
        <w:rPr>
          <w:rFonts w:ascii="Times New Roman" w:hAnsi="Times New Roman"/>
          <w:sz w:val="22"/>
          <w:szCs w:val="22"/>
        </w:rPr>
        <w:t>G</w:t>
      </w:r>
      <w:r w:rsidR="00050657" w:rsidRPr="00DA4924">
        <w:rPr>
          <w:rFonts w:ascii="Times New Roman" w:hAnsi="Times New Roman"/>
          <w:sz w:val="22"/>
          <w:szCs w:val="22"/>
        </w:rPr>
        <w:t>rada Karlovca</w:t>
      </w:r>
      <w:r w:rsidR="006D48DC">
        <w:rPr>
          <w:rFonts w:ascii="Times New Roman" w:hAnsi="Times New Roman"/>
          <w:sz w:val="22"/>
          <w:szCs w:val="22"/>
        </w:rPr>
        <w:t>“ br. 9/2021 – potpuni tekst</w:t>
      </w:r>
      <w:r w:rsidR="00050657" w:rsidRPr="00DA4924">
        <w:rPr>
          <w:rFonts w:ascii="Times New Roman" w:hAnsi="Times New Roman"/>
          <w:sz w:val="22"/>
          <w:szCs w:val="22"/>
        </w:rPr>
        <w:t xml:space="preserve">), </w:t>
      </w:r>
      <w:r w:rsidR="00BB355A">
        <w:rPr>
          <w:rFonts w:ascii="Times New Roman" w:hAnsi="Times New Roman"/>
          <w:sz w:val="22"/>
          <w:szCs w:val="22"/>
        </w:rPr>
        <w:t>Gradsko vijeće</w:t>
      </w:r>
      <w:r w:rsidR="00050657" w:rsidRPr="00DA4924">
        <w:rPr>
          <w:rFonts w:ascii="Times New Roman" w:hAnsi="Times New Roman"/>
          <w:sz w:val="22"/>
          <w:szCs w:val="22"/>
        </w:rPr>
        <w:t xml:space="preserve"> </w:t>
      </w:r>
      <w:r w:rsidR="00701BCB">
        <w:rPr>
          <w:rFonts w:ascii="Times New Roman" w:hAnsi="Times New Roman"/>
          <w:sz w:val="22"/>
          <w:szCs w:val="22"/>
        </w:rPr>
        <w:t>G</w:t>
      </w:r>
      <w:r w:rsidR="00050657" w:rsidRPr="00DA4924">
        <w:rPr>
          <w:rFonts w:ascii="Times New Roman" w:hAnsi="Times New Roman"/>
          <w:sz w:val="22"/>
          <w:szCs w:val="22"/>
        </w:rPr>
        <w:t>rada Karlovca</w:t>
      </w:r>
      <w:r w:rsidR="00BB355A">
        <w:rPr>
          <w:rFonts w:ascii="Times New Roman" w:hAnsi="Times New Roman"/>
          <w:sz w:val="22"/>
          <w:szCs w:val="22"/>
        </w:rPr>
        <w:t xml:space="preserve"> na ____sjednici održanoj dana ___________2022. godine donosi</w:t>
      </w:r>
    </w:p>
    <w:p w14:paraId="52CBC839" w14:textId="77777777" w:rsidR="00262B27" w:rsidRDefault="00262B27" w:rsidP="00050657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6ECD02A7" w14:textId="77777777" w:rsidR="00262B27" w:rsidRPr="00DA4924" w:rsidRDefault="00262B27" w:rsidP="00050657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14:paraId="49EBB99A" w14:textId="77777777" w:rsidR="00FA0154" w:rsidRPr="00DA4924" w:rsidRDefault="00FA0154" w:rsidP="00487D32">
      <w:pPr>
        <w:rPr>
          <w:rFonts w:ascii="Times New Roman" w:hAnsi="Times New Roman"/>
          <w:sz w:val="22"/>
          <w:szCs w:val="22"/>
        </w:rPr>
      </w:pPr>
    </w:p>
    <w:p w14:paraId="733C2960" w14:textId="77777777" w:rsidR="00BD1C06" w:rsidRPr="00DA4924" w:rsidRDefault="00FA0154" w:rsidP="00BD1C06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  <w:r w:rsidRPr="00DA4924">
        <w:rPr>
          <w:rFonts w:ascii="Times New Roman" w:hAnsi="Times New Roman"/>
          <w:b/>
          <w:bCs/>
          <w:sz w:val="22"/>
          <w:szCs w:val="22"/>
        </w:rPr>
        <w:t>ZAKLJUČAK</w:t>
      </w:r>
    </w:p>
    <w:p w14:paraId="660C3F4F" w14:textId="77777777" w:rsidR="00050657" w:rsidRPr="00DA4924" w:rsidRDefault="00BD1C06" w:rsidP="00692A31">
      <w:pPr>
        <w:ind w:left="720" w:right="-142"/>
        <w:jc w:val="center"/>
        <w:rPr>
          <w:rFonts w:ascii="Times New Roman" w:hAnsi="Times New Roman"/>
          <w:b/>
          <w:sz w:val="22"/>
          <w:szCs w:val="22"/>
        </w:rPr>
      </w:pPr>
      <w:r w:rsidRPr="00DA492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E5A837" w14:textId="77777777" w:rsidR="00921457" w:rsidRPr="00DA4924" w:rsidRDefault="00921457" w:rsidP="00FA0154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B73431C" w14:textId="77777777" w:rsidR="00FA0154" w:rsidRDefault="00FA0154" w:rsidP="00541025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  <w:r w:rsidRPr="00DA4924">
        <w:rPr>
          <w:rFonts w:ascii="Times New Roman" w:hAnsi="Times New Roman"/>
          <w:b/>
          <w:bCs/>
          <w:sz w:val="22"/>
          <w:szCs w:val="22"/>
        </w:rPr>
        <w:t>I</w:t>
      </w:r>
    </w:p>
    <w:p w14:paraId="1FE27033" w14:textId="2E068395" w:rsidR="00216052" w:rsidRPr="008A6B17" w:rsidRDefault="006D3F5B" w:rsidP="006D3F5B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B355A">
        <w:rPr>
          <w:rFonts w:ascii="Times New Roman" w:hAnsi="Times New Roman"/>
          <w:sz w:val="22"/>
          <w:szCs w:val="22"/>
        </w:rPr>
        <w:t>Prihvaća</w:t>
      </w:r>
      <w:r w:rsidR="00216052" w:rsidRPr="008A6B17">
        <w:rPr>
          <w:rFonts w:ascii="Times New Roman" w:hAnsi="Times New Roman"/>
          <w:sz w:val="22"/>
          <w:szCs w:val="22"/>
        </w:rPr>
        <w:t xml:space="preserve"> se </w:t>
      </w:r>
      <w:bookmarkStart w:id="0" w:name="_Hlk98831440"/>
      <w:r w:rsidR="00EB3C7F">
        <w:rPr>
          <w:rFonts w:ascii="Times New Roman" w:hAnsi="Times New Roman"/>
          <w:sz w:val="22"/>
          <w:szCs w:val="22"/>
        </w:rPr>
        <w:t>Izviješć</w:t>
      </w:r>
      <w:r w:rsidR="00BB355A">
        <w:rPr>
          <w:rFonts w:ascii="Times New Roman" w:hAnsi="Times New Roman"/>
          <w:sz w:val="22"/>
          <w:szCs w:val="22"/>
        </w:rPr>
        <w:t>e</w:t>
      </w:r>
      <w:r w:rsidR="00EB3C7F">
        <w:rPr>
          <w:rFonts w:ascii="Times New Roman" w:hAnsi="Times New Roman"/>
          <w:sz w:val="22"/>
          <w:szCs w:val="22"/>
        </w:rPr>
        <w:t xml:space="preserve"> o realizaciji Programa upravljanja objektima u vlasništvu grada </w:t>
      </w:r>
      <w:r w:rsidR="00216052" w:rsidRPr="008A6B17">
        <w:rPr>
          <w:rFonts w:ascii="Times New Roman" w:hAnsi="Times New Roman"/>
          <w:sz w:val="22"/>
          <w:szCs w:val="22"/>
        </w:rPr>
        <w:t xml:space="preserve"> u 20</w:t>
      </w:r>
      <w:r w:rsidR="006D48DC">
        <w:rPr>
          <w:rFonts w:ascii="Times New Roman" w:hAnsi="Times New Roman"/>
          <w:sz w:val="22"/>
          <w:szCs w:val="22"/>
        </w:rPr>
        <w:t>2</w:t>
      </w:r>
      <w:r w:rsidR="00EB3C7F">
        <w:rPr>
          <w:rFonts w:ascii="Times New Roman" w:hAnsi="Times New Roman"/>
          <w:sz w:val="22"/>
          <w:szCs w:val="22"/>
        </w:rPr>
        <w:t>1</w:t>
      </w:r>
      <w:r w:rsidR="00216052" w:rsidRPr="008A6B17">
        <w:rPr>
          <w:rFonts w:ascii="Times New Roman" w:hAnsi="Times New Roman"/>
          <w:sz w:val="22"/>
          <w:szCs w:val="22"/>
        </w:rPr>
        <w:t>.</w:t>
      </w:r>
      <w:r w:rsidR="00326037">
        <w:rPr>
          <w:rFonts w:ascii="Times New Roman" w:hAnsi="Times New Roman"/>
          <w:sz w:val="22"/>
          <w:szCs w:val="22"/>
        </w:rPr>
        <w:t xml:space="preserve"> </w:t>
      </w:r>
      <w:r w:rsidR="00216052" w:rsidRPr="008A6B17">
        <w:rPr>
          <w:rFonts w:ascii="Times New Roman" w:hAnsi="Times New Roman"/>
          <w:sz w:val="22"/>
          <w:szCs w:val="22"/>
        </w:rPr>
        <w:t>godinu</w:t>
      </w:r>
      <w:r>
        <w:rPr>
          <w:rFonts w:ascii="Times New Roman" w:hAnsi="Times New Roman"/>
          <w:sz w:val="22"/>
          <w:szCs w:val="22"/>
        </w:rPr>
        <w:t>.</w:t>
      </w:r>
      <w:r w:rsidR="00216052">
        <w:rPr>
          <w:rFonts w:ascii="Times New Roman" w:hAnsi="Times New Roman"/>
          <w:sz w:val="22"/>
          <w:szCs w:val="22"/>
        </w:rPr>
        <w:t xml:space="preserve"> </w:t>
      </w:r>
      <w:bookmarkEnd w:id="0"/>
    </w:p>
    <w:p w14:paraId="4CF72500" w14:textId="77777777" w:rsidR="00216052" w:rsidRPr="00DA4924" w:rsidRDefault="00216052" w:rsidP="00216052">
      <w:pPr>
        <w:ind w:left="-284" w:firstLine="1004"/>
        <w:rPr>
          <w:rFonts w:ascii="Times New Roman" w:hAnsi="Times New Roman"/>
          <w:sz w:val="22"/>
          <w:szCs w:val="22"/>
        </w:rPr>
      </w:pPr>
    </w:p>
    <w:p w14:paraId="40534DFC" w14:textId="77777777" w:rsidR="00216052" w:rsidRDefault="00216052" w:rsidP="00216052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  <w:r w:rsidRPr="004132A7">
        <w:rPr>
          <w:rFonts w:ascii="Times New Roman" w:hAnsi="Times New Roman"/>
          <w:b/>
          <w:bCs/>
          <w:sz w:val="22"/>
          <w:szCs w:val="22"/>
        </w:rPr>
        <w:t>II</w:t>
      </w:r>
    </w:p>
    <w:p w14:paraId="56E3A658" w14:textId="77777777" w:rsidR="00216052" w:rsidRPr="004132A7" w:rsidRDefault="00216052" w:rsidP="00216052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6716A16" w14:textId="4AF2B203" w:rsidR="00216052" w:rsidRPr="00DA4924" w:rsidRDefault="006D3F5B" w:rsidP="00216052">
      <w:pPr>
        <w:ind w:left="-284" w:firstLine="100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Izviješće o realizaciji Programa upravljanja objektima u vlasništvu grada </w:t>
      </w:r>
      <w:r w:rsidRPr="008A6B17">
        <w:rPr>
          <w:rFonts w:ascii="Times New Roman" w:hAnsi="Times New Roman"/>
          <w:sz w:val="22"/>
          <w:szCs w:val="22"/>
        </w:rPr>
        <w:t xml:space="preserve"> u 20</w:t>
      </w:r>
      <w:r>
        <w:rPr>
          <w:rFonts w:ascii="Times New Roman" w:hAnsi="Times New Roman"/>
          <w:sz w:val="22"/>
          <w:szCs w:val="22"/>
        </w:rPr>
        <w:t>21</w:t>
      </w:r>
      <w:r w:rsidRPr="008A6B1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6B17">
        <w:rPr>
          <w:rFonts w:ascii="Times New Roman" w:hAnsi="Times New Roman"/>
          <w:sz w:val="22"/>
          <w:szCs w:val="22"/>
        </w:rPr>
        <w:t>godinu</w:t>
      </w:r>
      <w:r>
        <w:rPr>
          <w:rFonts w:ascii="Times New Roman" w:hAnsi="Times New Roman"/>
          <w:sz w:val="22"/>
          <w:szCs w:val="22"/>
        </w:rPr>
        <w:t>,koje</w:t>
      </w:r>
      <w:proofErr w:type="spellEnd"/>
      <w:r>
        <w:rPr>
          <w:rFonts w:ascii="Times New Roman" w:hAnsi="Times New Roman"/>
          <w:sz w:val="22"/>
          <w:szCs w:val="22"/>
        </w:rPr>
        <w:t xml:space="preserve"> se nalazi u privitku ovog zaključka i čini njegov sastavni dio, objavit će se u „Glasniku Grada Karlovca“.</w:t>
      </w:r>
    </w:p>
    <w:p w14:paraId="77FFD250" w14:textId="77777777" w:rsidR="00216052" w:rsidRPr="00DA4924" w:rsidRDefault="00216052" w:rsidP="00216052">
      <w:pPr>
        <w:jc w:val="both"/>
        <w:rPr>
          <w:rFonts w:ascii="Times New Roman" w:hAnsi="Times New Roman"/>
          <w:sz w:val="22"/>
          <w:szCs w:val="22"/>
        </w:rPr>
      </w:pPr>
    </w:p>
    <w:p w14:paraId="2C343EE0" w14:textId="77777777" w:rsidR="00216052" w:rsidRDefault="00216052" w:rsidP="00216052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  <w:r w:rsidRPr="004132A7">
        <w:rPr>
          <w:rFonts w:ascii="Times New Roman" w:hAnsi="Times New Roman"/>
          <w:b/>
          <w:bCs/>
          <w:sz w:val="22"/>
          <w:szCs w:val="22"/>
        </w:rPr>
        <w:t>III</w:t>
      </w:r>
    </w:p>
    <w:p w14:paraId="6B5CDBEF" w14:textId="77777777" w:rsidR="00216052" w:rsidRPr="004132A7" w:rsidRDefault="00216052" w:rsidP="00216052">
      <w:pPr>
        <w:ind w:left="-284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46E4161" w14:textId="7A99B719" w:rsidR="00216052" w:rsidRPr="00DA4924" w:rsidRDefault="00216052" w:rsidP="00216052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DA4924">
        <w:rPr>
          <w:rFonts w:ascii="Times New Roman" w:hAnsi="Times New Roman"/>
          <w:sz w:val="22"/>
          <w:szCs w:val="22"/>
        </w:rPr>
        <w:t xml:space="preserve"> </w:t>
      </w:r>
      <w:r w:rsidRPr="00DA4924">
        <w:rPr>
          <w:rFonts w:ascii="Times New Roman" w:hAnsi="Times New Roman"/>
          <w:sz w:val="22"/>
          <w:szCs w:val="22"/>
        </w:rPr>
        <w:tab/>
      </w:r>
      <w:r w:rsidRPr="00DA4924">
        <w:rPr>
          <w:rFonts w:ascii="Times New Roman" w:hAnsi="Times New Roman"/>
          <w:sz w:val="22"/>
          <w:szCs w:val="22"/>
        </w:rPr>
        <w:tab/>
      </w:r>
      <w:r w:rsidR="00BB355A">
        <w:rPr>
          <w:rFonts w:ascii="Times New Roman" w:hAnsi="Times New Roman"/>
          <w:sz w:val="22"/>
          <w:szCs w:val="22"/>
        </w:rPr>
        <w:t>Ovaj zaključak stupa na snagu osmog (8) dana od dana objave u Glasniku Grada Karlovca.</w:t>
      </w:r>
      <w:r w:rsidRPr="00DA4924">
        <w:rPr>
          <w:rFonts w:ascii="Times New Roman" w:hAnsi="Times New Roman"/>
          <w:sz w:val="22"/>
          <w:szCs w:val="22"/>
        </w:rPr>
        <w:t>.</w:t>
      </w:r>
    </w:p>
    <w:p w14:paraId="74CF1342" w14:textId="77777777" w:rsidR="00216052" w:rsidRDefault="00216052" w:rsidP="00216052">
      <w:pPr>
        <w:ind w:left="-284"/>
        <w:rPr>
          <w:rFonts w:ascii="Times New Roman" w:hAnsi="Times New Roman"/>
          <w:sz w:val="22"/>
          <w:szCs w:val="22"/>
        </w:rPr>
      </w:pPr>
    </w:p>
    <w:p w14:paraId="4722AFD4" w14:textId="77777777" w:rsidR="00FA0154" w:rsidRDefault="00FA0154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18C044BD" w14:textId="77777777" w:rsidR="00262B27" w:rsidRDefault="00262B27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2319CFA4" w14:textId="77777777" w:rsidR="00262B27" w:rsidRDefault="00262B27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303F9D45" w14:textId="77777777" w:rsidR="00262B27" w:rsidRPr="00DA4924" w:rsidRDefault="00262B27" w:rsidP="00FA0154">
      <w:pPr>
        <w:ind w:left="-284"/>
        <w:rPr>
          <w:rFonts w:ascii="Times New Roman" w:hAnsi="Times New Roman"/>
          <w:sz w:val="22"/>
          <w:szCs w:val="22"/>
        </w:rPr>
      </w:pPr>
    </w:p>
    <w:p w14:paraId="13813FFA" w14:textId="77777777" w:rsidR="00FA0154" w:rsidRPr="00DA4924" w:rsidRDefault="00FA0154" w:rsidP="00050657">
      <w:pPr>
        <w:rPr>
          <w:rFonts w:ascii="Times New Roman" w:hAnsi="Times New Roman"/>
          <w:sz w:val="22"/>
          <w:szCs w:val="22"/>
        </w:rPr>
      </w:pPr>
    </w:p>
    <w:p w14:paraId="43135352" w14:textId="22668EBA" w:rsidR="00BB355A" w:rsidRDefault="006D3F5B" w:rsidP="006D3F5B">
      <w:pPr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B355A">
        <w:rPr>
          <w:rFonts w:ascii="Times New Roman" w:hAnsi="Times New Roman"/>
          <w:sz w:val="22"/>
          <w:szCs w:val="22"/>
        </w:rPr>
        <w:t xml:space="preserve">PREDSJEDNIK GRADSKOG VIJEĆA </w:t>
      </w:r>
    </w:p>
    <w:p w14:paraId="6080207A" w14:textId="75BF32F8" w:rsidR="00FA0154" w:rsidRPr="00DA4924" w:rsidRDefault="00BB355A" w:rsidP="006D3F5B">
      <w:pPr>
        <w:ind w:left="566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GRADA KARLOVCA</w:t>
      </w:r>
    </w:p>
    <w:p w14:paraId="2E6ACD2D" w14:textId="6C4ECB48" w:rsidR="00185BF1" w:rsidRPr="00DA4924" w:rsidRDefault="006D3F5B" w:rsidP="00DC0D78">
      <w:pPr>
        <w:ind w:left="57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Marin </w:t>
      </w:r>
      <w:proofErr w:type="spellStart"/>
      <w:r>
        <w:rPr>
          <w:rFonts w:ascii="Times New Roman" w:hAnsi="Times New Roman"/>
          <w:sz w:val="22"/>
          <w:szCs w:val="22"/>
        </w:rPr>
        <w:t>Svetić</w:t>
      </w:r>
      <w:proofErr w:type="spellEnd"/>
      <w:r w:rsidR="00DC0D78" w:rsidRPr="00DA4924">
        <w:rPr>
          <w:rFonts w:ascii="Times New Roman" w:hAnsi="Times New Roman"/>
          <w:sz w:val="22"/>
          <w:szCs w:val="22"/>
        </w:rPr>
        <w:t>,</w:t>
      </w:r>
      <w:r w:rsidR="004D2C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1520" w:rsidRPr="00DA4924">
        <w:rPr>
          <w:rFonts w:ascii="Times New Roman" w:hAnsi="Times New Roman"/>
          <w:sz w:val="22"/>
          <w:szCs w:val="22"/>
        </w:rPr>
        <w:t>dipl</w:t>
      </w:r>
      <w:r w:rsidR="00FA0154" w:rsidRPr="00DA492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ing</w:t>
      </w:r>
      <w:proofErr w:type="spellEnd"/>
      <w:r>
        <w:rPr>
          <w:rFonts w:ascii="Times New Roman" w:hAnsi="Times New Roman"/>
          <w:sz w:val="22"/>
          <w:szCs w:val="22"/>
        </w:rPr>
        <w:t>. šumarstva</w:t>
      </w:r>
    </w:p>
    <w:p w14:paraId="524DFD8E" w14:textId="77777777" w:rsidR="004132A7" w:rsidRDefault="004132A7" w:rsidP="00185BF1">
      <w:pPr>
        <w:rPr>
          <w:rFonts w:ascii="Times New Roman" w:hAnsi="Times New Roman"/>
          <w:sz w:val="22"/>
          <w:szCs w:val="22"/>
        </w:rPr>
      </w:pPr>
    </w:p>
    <w:p w14:paraId="6DFB51BC" w14:textId="537E3748" w:rsidR="00A16D0F" w:rsidRDefault="00A16D0F" w:rsidP="00F205F8">
      <w:pPr>
        <w:jc w:val="both"/>
        <w:rPr>
          <w:rFonts w:ascii="Times New Roman" w:hAnsi="Times New Roman"/>
          <w:sz w:val="22"/>
          <w:szCs w:val="22"/>
        </w:rPr>
      </w:pPr>
    </w:p>
    <w:p w14:paraId="2C1BAA76" w14:textId="3C673A86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p w14:paraId="5F3CEF5C" w14:textId="3FB77D9B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p w14:paraId="7D5A6D56" w14:textId="112167C4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p w14:paraId="499696DB" w14:textId="3126226E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p w14:paraId="1F03ABC2" w14:textId="6AE0E420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p w14:paraId="509C97BC" w14:textId="2275E7BB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p w14:paraId="2047C202" w14:textId="7BEA8EBB" w:rsidR="00CF36DD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F36DD" w:rsidRPr="00CF36DD" w14:paraId="76422D45" w14:textId="77777777" w:rsidTr="00564393">
        <w:tc>
          <w:tcPr>
            <w:tcW w:w="3082" w:type="dxa"/>
            <w:gridSpan w:val="2"/>
            <w:vAlign w:val="center"/>
          </w:tcPr>
          <w:p w14:paraId="755039BE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lastRenderedPageBreak/>
              <w:drawing>
                <wp:inline distT="0" distB="0" distL="0" distR="0" wp14:anchorId="4910A088" wp14:editId="1DEB4EF6">
                  <wp:extent cx="249381" cy="329864"/>
                  <wp:effectExtent l="0" t="0" r="0" b="0"/>
                  <wp:docPr id="4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1C4164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7A966233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6740E6C4" wp14:editId="3FE1DE45">
                  <wp:extent cx="1452144" cy="445325"/>
                  <wp:effectExtent l="0" t="0" r="0" b="0"/>
                  <wp:docPr id="5" name="Picture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lika na kojoj se prikazuje tekst&#10;&#10;Opis je automatski generiran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6DD" w:rsidRPr="00CF36DD" w14:paraId="485675DE" w14:textId="77777777" w:rsidTr="00564393">
        <w:tc>
          <w:tcPr>
            <w:tcW w:w="3082" w:type="dxa"/>
            <w:gridSpan w:val="2"/>
            <w:vAlign w:val="center"/>
          </w:tcPr>
          <w:p w14:paraId="63CF9BE3" w14:textId="77777777" w:rsidR="00CF36DD" w:rsidRPr="00CF36DD" w:rsidRDefault="00CF36DD" w:rsidP="00CF36D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ptab w:relativeTo="margin" w:alignment="left" w:leader="none"/>
            </w:r>
            <w:r w:rsidRPr="00CF36DD">
              <w:rPr>
                <w:rFonts w:ascii="Times New Roman" w:hAnsi="Times New Roman"/>
                <w:sz w:val="22"/>
                <w:szCs w:val="22"/>
              </w:rPr>
              <w:ptab w:relativeTo="margin" w:alignment="left" w:leader="none"/>
            </w:r>
            <w:r w:rsidRPr="00CF36DD">
              <w:rPr>
                <w:rFonts w:ascii="Times New Roman" w:hAnsi="Times New Roman"/>
                <w:sz w:val="22"/>
                <w:szCs w:val="22"/>
              </w:rPr>
              <w:t>REPUBLIKA HRVATSKA</w:t>
            </w:r>
          </w:p>
          <w:p w14:paraId="2E9C3BFE" w14:textId="77777777" w:rsidR="00CF36DD" w:rsidRPr="00CF36DD" w:rsidRDefault="00CF36DD" w:rsidP="00CF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3AB641A9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6" w:type="dxa"/>
            <w:vMerge/>
            <w:vAlign w:val="center"/>
          </w:tcPr>
          <w:p w14:paraId="7D01C7AF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5DBB02DA" w14:textId="77777777" w:rsidTr="00564393">
        <w:tc>
          <w:tcPr>
            <w:tcW w:w="636" w:type="dxa"/>
            <w:vAlign w:val="center"/>
          </w:tcPr>
          <w:p w14:paraId="37F491B4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718DA93" wp14:editId="6F862D9D">
                  <wp:extent cx="267194" cy="302820"/>
                  <wp:effectExtent l="0" t="0" r="0" b="2540"/>
                  <wp:docPr id="6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C8667E1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0B4BF324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6" w:type="dxa"/>
            <w:vMerge/>
            <w:vAlign w:val="center"/>
          </w:tcPr>
          <w:p w14:paraId="7BBB5BBB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695104" w14:textId="77777777" w:rsidR="00CF36DD" w:rsidRPr="00CF36DD" w:rsidRDefault="00CF36DD" w:rsidP="00CF36DD">
      <w:pPr>
        <w:rPr>
          <w:rFonts w:ascii="Times New Roman" w:eastAsia="Calibri" w:hAnsi="Times New Roman"/>
          <w:color w:val="000000"/>
          <w:sz w:val="22"/>
          <w:szCs w:val="22"/>
        </w:rPr>
      </w:pPr>
    </w:p>
    <w:p w14:paraId="6555EEE7" w14:textId="77777777" w:rsidR="00CF36DD" w:rsidRPr="00CF36DD" w:rsidRDefault="00CF36DD" w:rsidP="00CF36DD">
      <w:pPr>
        <w:rPr>
          <w:rFonts w:ascii="Times New Roman" w:eastAsia="Calibri" w:hAnsi="Times New Roman"/>
          <w:color w:val="000000"/>
          <w:sz w:val="22"/>
          <w:szCs w:val="22"/>
        </w:rPr>
      </w:pPr>
      <w:r w:rsidRPr="00CF36DD">
        <w:rPr>
          <w:rFonts w:ascii="Times New Roman" w:eastAsia="Calibri" w:hAnsi="Times New Roman"/>
          <w:color w:val="000000"/>
          <w:sz w:val="22"/>
          <w:szCs w:val="22"/>
        </w:rPr>
        <w:t xml:space="preserve">UPRAVNI ODJEL ZA KOMUNALNO </w:t>
      </w:r>
    </w:p>
    <w:p w14:paraId="2CBAF5B3" w14:textId="77777777" w:rsidR="00CF36DD" w:rsidRPr="00CF36DD" w:rsidRDefault="00CF36DD" w:rsidP="00CF36DD">
      <w:pPr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color w:val="000000"/>
          <w:sz w:val="22"/>
          <w:szCs w:val="22"/>
        </w:rPr>
        <w:t>GOSPODARSTVO</w:t>
      </w:r>
    </w:p>
    <w:p w14:paraId="1B70AF71" w14:textId="77777777" w:rsidR="00CF36DD" w:rsidRPr="00CF36DD" w:rsidRDefault="00CF36DD" w:rsidP="00CF36DD">
      <w:pPr>
        <w:rPr>
          <w:rFonts w:ascii="Times New Roman" w:eastAsia="Calibri" w:hAnsi="Times New Roman"/>
          <w:sz w:val="22"/>
          <w:szCs w:val="22"/>
        </w:rPr>
      </w:pPr>
    </w:p>
    <w:p w14:paraId="4D074C9B" w14:textId="77777777" w:rsidR="00CF36DD" w:rsidRPr="00CF36DD" w:rsidRDefault="00CF36DD" w:rsidP="00CF36DD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Karlovac, ožujak 2022. god.</w:t>
      </w:r>
    </w:p>
    <w:p w14:paraId="2C12A5E2" w14:textId="77777777" w:rsidR="00CF36DD" w:rsidRPr="00CF36DD" w:rsidRDefault="00CF36DD" w:rsidP="00CF36DD">
      <w:pPr>
        <w:spacing w:line="276" w:lineRule="auto"/>
        <w:rPr>
          <w:rFonts w:ascii="Times New Roman" w:eastAsia="Calibri" w:hAnsi="Times New Roman"/>
          <w:sz w:val="22"/>
          <w:szCs w:val="22"/>
        </w:rPr>
      </w:pPr>
    </w:p>
    <w:p w14:paraId="3C22262B" w14:textId="77777777" w:rsidR="00CF36DD" w:rsidRPr="00CF36DD" w:rsidRDefault="00CF36DD" w:rsidP="00CF36DD">
      <w:pPr>
        <w:spacing w:line="276" w:lineRule="auto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</w:rPr>
        <w:t>Izvješće o izvršenju programa upravljanje objektima u vlasništvu Grada u 2021. godini</w:t>
      </w:r>
    </w:p>
    <w:p w14:paraId="051F2228" w14:textId="77777777" w:rsidR="00CF36DD" w:rsidRPr="00CF36DD" w:rsidRDefault="00CF36DD" w:rsidP="00CF36DD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</w:p>
    <w:p w14:paraId="166E068A" w14:textId="77777777" w:rsidR="00CF36DD" w:rsidRPr="00CF36DD" w:rsidRDefault="00CF36DD" w:rsidP="00CF36DD">
      <w:pPr>
        <w:spacing w:line="276" w:lineRule="auto"/>
        <w:ind w:firstLine="708"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Sukladno članku 9. Programa upravljanja objektima u vlasništvu Grada u 2021. godini („Glasnik Grada Karlovca“ br. 17/20, 8/21 i 17/21, dalje u tekstu: Program), podnosi se Izvješće o izvršenju Programa kojim se daje prikaz izvršenih rashoda po Programu za 2021. godinu.</w:t>
      </w:r>
    </w:p>
    <w:p w14:paraId="15FDA3D8" w14:textId="77777777" w:rsidR="00CF36DD" w:rsidRPr="00CF36DD" w:rsidRDefault="00CF36DD" w:rsidP="00CF36DD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ab/>
        <w:t>Sveukupno procijenjeni troškovi unutar ovog Programa planirani su u ukupnom iznosu 6.324.098,00 kuna,  od čega su realizirani troškovi/rashodi u ukupnom iznosu od 5.162.733,43 kune (81,64%).</w:t>
      </w:r>
    </w:p>
    <w:p w14:paraId="3E83426D" w14:textId="77777777" w:rsidR="00CF36DD" w:rsidRPr="00CF36DD" w:rsidRDefault="00CF36DD" w:rsidP="00CF36DD">
      <w:pPr>
        <w:spacing w:line="276" w:lineRule="auto"/>
        <w:ind w:firstLine="360"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Programom je planirano upravljanje objektima u vlasništvu grada Karlovca za kroz četiri aktivnosti:</w:t>
      </w:r>
    </w:p>
    <w:p w14:paraId="4C9828D6" w14:textId="77777777" w:rsidR="00CF36DD" w:rsidRPr="00CF36DD" w:rsidRDefault="00CF36DD" w:rsidP="00CF36DD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</w:rPr>
        <w:t>održavanje stanova</w:t>
      </w:r>
      <w:r w:rsidRPr="00CF36DD">
        <w:rPr>
          <w:rFonts w:ascii="Times New Roman" w:eastAsia="Calibri" w:hAnsi="Times New Roman"/>
          <w:sz w:val="22"/>
          <w:szCs w:val="22"/>
        </w:rPr>
        <w:t xml:space="preserve"> – procijenjeni troškovi planirani su u ukupnom iznosu 1.218.500,00 kuna, od čega je realizirano 1.094.136,25 kuna (89,79%)</w:t>
      </w:r>
    </w:p>
    <w:p w14:paraId="04638066" w14:textId="77777777" w:rsidR="00CF36DD" w:rsidRPr="00CF36DD" w:rsidRDefault="00CF36DD" w:rsidP="00CF36DD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</w:rPr>
        <w:t>održavanje poslovnih prostora i ostalih objekata</w:t>
      </w:r>
      <w:r w:rsidRPr="00CF36DD">
        <w:rPr>
          <w:rFonts w:ascii="Times New Roman" w:eastAsia="Calibri" w:hAnsi="Times New Roman"/>
          <w:sz w:val="22"/>
          <w:szCs w:val="22"/>
        </w:rPr>
        <w:t xml:space="preserve"> - procijenjeni troškovi planirani su u ukupnom iznosu 1.396.000,00 kuna, od čega je realizirano 1.227.102,25 kuna (87,90%)</w:t>
      </w:r>
    </w:p>
    <w:p w14:paraId="784176AF" w14:textId="77777777" w:rsidR="00CF36DD" w:rsidRPr="00CF36DD" w:rsidRDefault="00CF36DD" w:rsidP="00CF36DD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</w:rPr>
        <w:t xml:space="preserve">dodatna ulaganja na objektima u vlasništvu grada </w:t>
      </w:r>
      <w:r w:rsidRPr="00CF36DD">
        <w:rPr>
          <w:rFonts w:ascii="Times New Roman" w:eastAsia="Calibri" w:hAnsi="Times New Roman"/>
          <w:sz w:val="22"/>
          <w:szCs w:val="22"/>
        </w:rPr>
        <w:t xml:space="preserve">- </w:t>
      </w:r>
      <w:bookmarkStart w:id="1" w:name="_Hlk98767659"/>
      <w:r w:rsidRPr="00CF36DD">
        <w:rPr>
          <w:rFonts w:ascii="Times New Roman" w:eastAsia="Calibri" w:hAnsi="Times New Roman"/>
          <w:sz w:val="22"/>
          <w:szCs w:val="22"/>
        </w:rPr>
        <w:t>procijenjeni troškovi planirani su u ukupnom iznosu 1.733.000,00 kuna, od čega je realizirano 1.627.742,02 kuna (93,93%)</w:t>
      </w:r>
    </w:p>
    <w:bookmarkEnd w:id="1"/>
    <w:p w14:paraId="0273092B" w14:textId="77777777" w:rsidR="00CF36DD" w:rsidRPr="00CF36DD" w:rsidRDefault="00CF36DD" w:rsidP="00CF36DD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</w:rPr>
        <w:t xml:space="preserve">izrada projektne dokumentacije </w:t>
      </w:r>
      <w:r w:rsidRPr="00CF36DD">
        <w:rPr>
          <w:rFonts w:ascii="Times New Roman" w:eastAsia="Calibri" w:hAnsi="Times New Roman"/>
          <w:sz w:val="22"/>
          <w:szCs w:val="22"/>
        </w:rPr>
        <w:t>- procijenjeni troškovi planirani su u ukupnom iznosu 1.182.000,00 kuna, od čega je realizirano 432.106,04 kuna (36,56%)</w:t>
      </w:r>
    </w:p>
    <w:p w14:paraId="12337830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5B967A71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36E429F4" w14:textId="77777777" w:rsidR="00CF36DD" w:rsidRPr="00CF36DD" w:rsidRDefault="00CF36DD" w:rsidP="00CF36DD">
      <w:pPr>
        <w:spacing w:before="240"/>
        <w:jc w:val="both"/>
        <w:outlineLvl w:val="0"/>
        <w:rPr>
          <w:rFonts w:ascii="Times New Roman" w:hAnsi="Times New Roman"/>
          <w:b/>
          <w:sz w:val="22"/>
          <w:szCs w:val="22"/>
          <w:u w:val="single"/>
          <w:lang w:eastAsia="hr-HR"/>
        </w:rPr>
      </w:pPr>
      <w:r w:rsidRPr="00CF36DD">
        <w:rPr>
          <w:rFonts w:ascii="Times New Roman" w:hAnsi="Times New Roman"/>
          <w:b/>
          <w:sz w:val="22"/>
          <w:szCs w:val="22"/>
          <w:u w:val="single"/>
          <w:lang w:eastAsia="hr-HR"/>
        </w:rPr>
        <w:t>I. ODRŽAVANJE STANOVA</w:t>
      </w:r>
    </w:p>
    <w:p w14:paraId="6A2A3481" w14:textId="77777777" w:rsidR="00CF36DD" w:rsidRPr="00CF36DD" w:rsidRDefault="00CF36DD" w:rsidP="00CF36D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49"/>
        <w:gridCol w:w="1504"/>
        <w:gridCol w:w="1549"/>
        <w:gridCol w:w="1405"/>
        <w:gridCol w:w="1504"/>
        <w:gridCol w:w="1549"/>
      </w:tblGrid>
      <w:tr w:rsidR="00CF36DD" w:rsidRPr="00CF36DD" w14:paraId="1A291816" w14:textId="77777777" w:rsidTr="00564393">
        <w:tc>
          <w:tcPr>
            <w:tcW w:w="4602" w:type="dxa"/>
            <w:gridSpan w:val="3"/>
            <w:vAlign w:val="center"/>
          </w:tcPr>
          <w:p w14:paraId="702D21E9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RASHODI</w:t>
            </w:r>
          </w:p>
        </w:tc>
        <w:tc>
          <w:tcPr>
            <w:tcW w:w="4458" w:type="dxa"/>
            <w:gridSpan w:val="3"/>
            <w:vAlign w:val="center"/>
          </w:tcPr>
          <w:p w14:paraId="0E7ADAD0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IZVORI FINANCIRANJA</w:t>
            </w:r>
          </w:p>
        </w:tc>
      </w:tr>
      <w:tr w:rsidR="00CF36DD" w:rsidRPr="00CF36DD" w14:paraId="5A522812" w14:textId="77777777" w:rsidTr="00564393">
        <w:tc>
          <w:tcPr>
            <w:tcW w:w="1549" w:type="dxa"/>
          </w:tcPr>
          <w:p w14:paraId="358DB226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AKTIVNOSTI</w:t>
            </w:r>
          </w:p>
        </w:tc>
        <w:tc>
          <w:tcPr>
            <w:tcW w:w="1504" w:type="dxa"/>
          </w:tcPr>
          <w:p w14:paraId="17F83173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278DD3DB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  <w:tc>
          <w:tcPr>
            <w:tcW w:w="1405" w:type="dxa"/>
          </w:tcPr>
          <w:p w14:paraId="0705528D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PRIHODI</w:t>
            </w:r>
          </w:p>
        </w:tc>
        <w:tc>
          <w:tcPr>
            <w:tcW w:w="1504" w:type="dxa"/>
          </w:tcPr>
          <w:p w14:paraId="723CA477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1B7E60BE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</w:tr>
      <w:tr w:rsidR="00CF36DD" w:rsidRPr="00CF36DD" w14:paraId="3B0F479C" w14:textId="77777777" w:rsidTr="00564393">
        <w:tc>
          <w:tcPr>
            <w:tcW w:w="1549" w:type="dxa"/>
          </w:tcPr>
          <w:p w14:paraId="1CD82C95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Održavanje stanova</w:t>
            </w:r>
          </w:p>
        </w:tc>
        <w:tc>
          <w:tcPr>
            <w:tcW w:w="1504" w:type="dxa"/>
            <w:vAlign w:val="center"/>
          </w:tcPr>
          <w:p w14:paraId="2C331524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1.218.500,00</w:t>
            </w:r>
          </w:p>
        </w:tc>
        <w:tc>
          <w:tcPr>
            <w:tcW w:w="1549" w:type="dxa"/>
            <w:vAlign w:val="center"/>
          </w:tcPr>
          <w:p w14:paraId="3EBEC4B8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1.094.136,25</w:t>
            </w:r>
          </w:p>
        </w:tc>
        <w:tc>
          <w:tcPr>
            <w:tcW w:w="1405" w:type="dxa"/>
            <w:vAlign w:val="center"/>
          </w:tcPr>
          <w:p w14:paraId="378D9AFD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Prodaja stanova</w:t>
            </w:r>
          </w:p>
        </w:tc>
        <w:tc>
          <w:tcPr>
            <w:tcW w:w="1504" w:type="dxa"/>
            <w:vAlign w:val="center"/>
          </w:tcPr>
          <w:p w14:paraId="4E7FB513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1.218.500,00</w:t>
            </w:r>
          </w:p>
        </w:tc>
        <w:tc>
          <w:tcPr>
            <w:tcW w:w="1549" w:type="dxa"/>
            <w:vAlign w:val="center"/>
          </w:tcPr>
          <w:p w14:paraId="14527997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1.094.136,25</w:t>
            </w:r>
          </w:p>
        </w:tc>
      </w:tr>
    </w:tbl>
    <w:p w14:paraId="543AF686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75105E20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Kroz Aktivnost Održavanje stanova izvedeni su radovi u 34 stana u vlasništvu Grada od čega veći radovi u stanovima na adresama: M. Bogovića 2, Domobranska 26b, M. Vrhovca 13, S. Vraza 33, Trg kralja P. Svačića 1, M.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Laginje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2, I. Kršnjavoga 12a, Kralja Zvonimira 16, I. Kršnjavog 11a, Riječka 9b, G.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Krkleca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2, Strossmayerov trg 2 i B. Kašića 13</w:t>
      </w:r>
    </w:p>
    <w:p w14:paraId="0FF7DD9A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32FD06AE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5B76AE95" w14:textId="4983D850" w:rsid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20E6228" w14:textId="5CD8845A" w:rsid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795A5924" w14:textId="1A1AC23A" w:rsid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0F99E033" w14:textId="1D3AAFB0" w:rsid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F72BE63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73147426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  <w:u w:val="single"/>
        </w:rPr>
        <w:lastRenderedPageBreak/>
        <w:t>2. ODRŽAVANJE POSLOVNIH PROSTORA I OSTALIH OBJEKATA</w:t>
      </w:r>
    </w:p>
    <w:p w14:paraId="72B8D6D4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49"/>
        <w:gridCol w:w="1504"/>
        <w:gridCol w:w="1549"/>
        <w:gridCol w:w="1405"/>
        <w:gridCol w:w="1504"/>
        <w:gridCol w:w="1549"/>
      </w:tblGrid>
      <w:tr w:rsidR="00CF36DD" w:rsidRPr="00CF36DD" w14:paraId="77781F85" w14:textId="77777777" w:rsidTr="00564393">
        <w:tc>
          <w:tcPr>
            <w:tcW w:w="4602" w:type="dxa"/>
            <w:gridSpan w:val="3"/>
            <w:vAlign w:val="center"/>
          </w:tcPr>
          <w:p w14:paraId="38167B20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RASHODI</w:t>
            </w:r>
          </w:p>
        </w:tc>
        <w:tc>
          <w:tcPr>
            <w:tcW w:w="4458" w:type="dxa"/>
            <w:gridSpan w:val="3"/>
            <w:vAlign w:val="center"/>
          </w:tcPr>
          <w:p w14:paraId="517E5B0F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IZVORI FINANCIRANJA</w:t>
            </w:r>
          </w:p>
        </w:tc>
      </w:tr>
      <w:tr w:rsidR="00CF36DD" w:rsidRPr="00CF36DD" w14:paraId="34768C61" w14:textId="77777777" w:rsidTr="00564393">
        <w:tc>
          <w:tcPr>
            <w:tcW w:w="1549" w:type="dxa"/>
          </w:tcPr>
          <w:p w14:paraId="565E1FAF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AKTIVNOSTI</w:t>
            </w:r>
          </w:p>
        </w:tc>
        <w:tc>
          <w:tcPr>
            <w:tcW w:w="1504" w:type="dxa"/>
          </w:tcPr>
          <w:p w14:paraId="73F26BD7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36200D32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  <w:tc>
          <w:tcPr>
            <w:tcW w:w="1405" w:type="dxa"/>
          </w:tcPr>
          <w:p w14:paraId="06A6F4D5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PRIHODI</w:t>
            </w:r>
          </w:p>
        </w:tc>
        <w:tc>
          <w:tcPr>
            <w:tcW w:w="1504" w:type="dxa"/>
          </w:tcPr>
          <w:p w14:paraId="4E0B55A9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23E21CC6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</w:tr>
      <w:tr w:rsidR="00CF36DD" w:rsidRPr="00CF36DD" w14:paraId="687A7CEF" w14:textId="77777777" w:rsidTr="00564393">
        <w:tc>
          <w:tcPr>
            <w:tcW w:w="1549" w:type="dxa"/>
          </w:tcPr>
          <w:p w14:paraId="42F444C6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Dokup energije za poslovne prostore i stanove</w:t>
            </w:r>
          </w:p>
        </w:tc>
        <w:tc>
          <w:tcPr>
            <w:tcW w:w="1504" w:type="dxa"/>
            <w:vAlign w:val="center"/>
          </w:tcPr>
          <w:p w14:paraId="2FFF2A1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30.000,00</w:t>
            </w:r>
          </w:p>
        </w:tc>
        <w:tc>
          <w:tcPr>
            <w:tcW w:w="1549" w:type="dxa"/>
            <w:vAlign w:val="center"/>
          </w:tcPr>
          <w:p w14:paraId="6AFF4744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23.962,50</w:t>
            </w:r>
          </w:p>
        </w:tc>
        <w:tc>
          <w:tcPr>
            <w:tcW w:w="1405" w:type="dxa"/>
            <w:vMerge w:val="restart"/>
            <w:vAlign w:val="center"/>
          </w:tcPr>
          <w:p w14:paraId="5E5DE666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Opći prihodi i primici proračuna</w:t>
            </w:r>
          </w:p>
        </w:tc>
        <w:tc>
          <w:tcPr>
            <w:tcW w:w="1504" w:type="dxa"/>
            <w:vMerge w:val="restart"/>
            <w:vAlign w:val="center"/>
          </w:tcPr>
          <w:p w14:paraId="535CCA12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1.396.000,00</w:t>
            </w:r>
          </w:p>
        </w:tc>
        <w:tc>
          <w:tcPr>
            <w:tcW w:w="1549" w:type="dxa"/>
            <w:vMerge w:val="restart"/>
            <w:vAlign w:val="center"/>
          </w:tcPr>
          <w:p w14:paraId="29C0E769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1.227.102,25</w:t>
            </w:r>
          </w:p>
        </w:tc>
      </w:tr>
      <w:tr w:rsidR="00CF36DD" w:rsidRPr="00CF36DD" w14:paraId="130CD016" w14:textId="77777777" w:rsidTr="00564393">
        <w:tc>
          <w:tcPr>
            <w:tcW w:w="1549" w:type="dxa"/>
          </w:tcPr>
          <w:p w14:paraId="3E17DC34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bookmarkStart w:id="2" w:name="_Hlk98783995"/>
            <w:r w:rsidRPr="00CF36DD">
              <w:rPr>
                <w:rFonts w:ascii="Times New Roman" w:hAnsi="Times New Roman"/>
                <w:sz w:val="22"/>
                <w:szCs w:val="22"/>
              </w:rPr>
              <w:t>Održavanje objekata javne i društvene namjene</w:t>
            </w:r>
            <w:bookmarkEnd w:id="2"/>
          </w:p>
        </w:tc>
        <w:tc>
          <w:tcPr>
            <w:tcW w:w="1504" w:type="dxa"/>
            <w:vAlign w:val="center"/>
          </w:tcPr>
          <w:p w14:paraId="346788A3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F1B594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300.000,00</w:t>
            </w:r>
          </w:p>
          <w:p w14:paraId="0DCF9283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6F34515A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295.728,18</w:t>
            </w:r>
          </w:p>
        </w:tc>
        <w:tc>
          <w:tcPr>
            <w:tcW w:w="1405" w:type="dxa"/>
            <w:vMerge/>
            <w:vAlign w:val="center"/>
          </w:tcPr>
          <w:p w14:paraId="4521EF84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41EE84AD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7664C5FF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71F8F8BC" w14:textId="77777777" w:rsidTr="00564393">
        <w:tc>
          <w:tcPr>
            <w:tcW w:w="1549" w:type="dxa"/>
          </w:tcPr>
          <w:p w14:paraId="6D9786A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Održavanje poslovnih prostora i kom. objekata</w:t>
            </w:r>
          </w:p>
        </w:tc>
        <w:tc>
          <w:tcPr>
            <w:tcW w:w="1504" w:type="dxa"/>
            <w:vAlign w:val="center"/>
          </w:tcPr>
          <w:p w14:paraId="69148F86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920.000,00</w:t>
            </w:r>
          </w:p>
        </w:tc>
        <w:tc>
          <w:tcPr>
            <w:tcW w:w="1549" w:type="dxa"/>
            <w:vAlign w:val="center"/>
          </w:tcPr>
          <w:p w14:paraId="54D2FAFE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782.286,57</w:t>
            </w:r>
          </w:p>
        </w:tc>
        <w:tc>
          <w:tcPr>
            <w:tcW w:w="1405" w:type="dxa"/>
            <w:vMerge/>
            <w:vAlign w:val="center"/>
          </w:tcPr>
          <w:p w14:paraId="3CF3D105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70A6721F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3C751024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74C9377F" w14:textId="77777777" w:rsidTr="00564393">
        <w:tc>
          <w:tcPr>
            <w:tcW w:w="1549" w:type="dxa"/>
          </w:tcPr>
          <w:p w14:paraId="776B4552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Održavanje nadstrešnica</w:t>
            </w:r>
          </w:p>
        </w:tc>
        <w:tc>
          <w:tcPr>
            <w:tcW w:w="1504" w:type="dxa"/>
            <w:vAlign w:val="center"/>
          </w:tcPr>
          <w:p w14:paraId="694F52E6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20.000,00</w:t>
            </w:r>
          </w:p>
        </w:tc>
        <w:tc>
          <w:tcPr>
            <w:tcW w:w="1549" w:type="dxa"/>
            <w:vAlign w:val="center"/>
          </w:tcPr>
          <w:p w14:paraId="232C21FD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5" w:type="dxa"/>
            <w:vMerge/>
            <w:vAlign w:val="center"/>
          </w:tcPr>
          <w:p w14:paraId="6F20B7FB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553F068D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6DEB3E7D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36ECB4FB" w14:textId="77777777" w:rsidTr="00564393">
        <w:tc>
          <w:tcPr>
            <w:tcW w:w="1549" w:type="dxa"/>
          </w:tcPr>
          <w:p w14:paraId="6662E72A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Građevinski objekti</w:t>
            </w:r>
          </w:p>
        </w:tc>
        <w:tc>
          <w:tcPr>
            <w:tcW w:w="1504" w:type="dxa"/>
            <w:vAlign w:val="center"/>
          </w:tcPr>
          <w:p w14:paraId="7B4B22FA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126.000,00</w:t>
            </w:r>
          </w:p>
        </w:tc>
        <w:tc>
          <w:tcPr>
            <w:tcW w:w="1549" w:type="dxa"/>
            <w:vAlign w:val="center"/>
          </w:tcPr>
          <w:p w14:paraId="0C89C02B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125.125,00</w:t>
            </w:r>
          </w:p>
        </w:tc>
        <w:tc>
          <w:tcPr>
            <w:tcW w:w="1405" w:type="dxa"/>
            <w:vMerge/>
            <w:vAlign w:val="center"/>
          </w:tcPr>
          <w:p w14:paraId="1B9DE21A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12F7C6EE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469756E0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E7C059" w14:textId="77777777" w:rsidR="00CF36DD" w:rsidRPr="00CF36DD" w:rsidRDefault="00CF36DD" w:rsidP="00CF36D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2CAF4E5" w14:textId="77777777" w:rsidR="00CF36DD" w:rsidRPr="00CF36DD" w:rsidRDefault="00CF36DD" w:rsidP="00CF36D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Dokup energije za poslovne prostore i stanove – dokupljena snaga za poslovne prostore na adresama M. Krešića 4 i G. Stative 1a</w:t>
      </w:r>
    </w:p>
    <w:p w14:paraId="5F21B182" w14:textId="77777777" w:rsidR="00CF36DD" w:rsidRPr="00CF36DD" w:rsidRDefault="00CF36DD" w:rsidP="00CF36D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Održavanje objekata javne i društvene namjene – izvedeni radovi u Hrvatskom domu, Klubu umirovljenika, društvenom objektu u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Šišljaviću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, uređenje fasade kapelice Sv. Duha u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Blatnici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, zamjena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vratiju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na domu u G. Stativama i zamjene radijatora u zgradi u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Halikovoj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23</w:t>
      </w:r>
    </w:p>
    <w:p w14:paraId="2AA3AA89" w14:textId="77777777" w:rsidR="00CF36DD" w:rsidRPr="00CF36DD" w:rsidRDefault="00CF36DD" w:rsidP="00CF36D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Održavanje poslovnih prostora i kom. objekata – radovi na održavanju zgrada gradske uprave i na cjelogodišnjem održavanju komunalnih objekata (pothodnici, fontane, javni satovi, javne česme, javni wc i glazbeni paviljon)</w:t>
      </w:r>
    </w:p>
    <w:p w14:paraId="63D2093B" w14:textId="77777777" w:rsidR="00CF36DD" w:rsidRPr="00CF36DD" w:rsidRDefault="00CF36DD" w:rsidP="00CF36D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Građevinski objekti – nabavljeno 6 komada nadstrešnica za autobusna stajališta</w:t>
      </w:r>
    </w:p>
    <w:p w14:paraId="0BB916DF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56AF14D8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  <w:u w:val="single"/>
        </w:rPr>
        <w:t>3. DODATNA ULAGANJA NA OBJEKTIMA U VLASNIŠTVU GRADA</w:t>
      </w:r>
    </w:p>
    <w:p w14:paraId="15BF8647" w14:textId="77777777" w:rsidR="00CF36DD" w:rsidRPr="00CF36DD" w:rsidRDefault="00CF36DD" w:rsidP="00CF36D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49"/>
        <w:gridCol w:w="1504"/>
        <w:gridCol w:w="1549"/>
        <w:gridCol w:w="1405"/>
        <w:gridCol w:w="1504"/>
        <w:gridCol w:w="1549"/>
      </w:tblGrid>
      <w:tr w:rsidR="00CF36DD" w:rsidRPr="00CF36DD" w14:paraId="3BCB0C43" w14:textId="77777777" w:rsidTr="00564393">
        <w:tc>
          <w:tcPr>
            <w:tcW w:w="4602" w:type="dxa"/>
            <w:gridSpan w:val="3"/>
            <w:vAlign w:val="center"/>
          </w:tcPr>
          <w:p w14:paraId="6F8F032B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RASHODI</w:t>
            </w:r>
          </w:p>
        </w:tc>
        <w:tc>
          <w:tcPr>
            <w:tcW w:w="4458" w:type="dxa"/>
            <w:gridSpan w:val="3"/>
            <w:vAlign w:val="center"/>
          </w:tcPr>
          <w:p w14:paraId="5C797D5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IZVORI FINANCIRANJA</w:t>
            </w:r>
          </w:p>
        </w:tc>
      </w:tr>
      <w:tr w:rsidR="00CF36DD" w:rsidRPr="00CF36DD" w14:paraId="4D81B345" w14:textId="77777777" w:rsidTr="00564393">
        <w:tc>
          <w:tcPr>
            <w:tcW w:w="1549" w:type="dxa"/>
          </w:tcPr>
          <w:p w14:paraId="77A23802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AKTIVNOSTI</w:t>
            </w:r>
          </w:p>
        </w:tc>
        <w:tc>
          <w:tcPr>
            <w:tcW w:w="1504" w:type="dxa"/>
          </w:tcPr>
          <w:p w14:paraId="254BA47B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61F1D0FB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  <w:tc>
          <w:tcPr>
            <w:tcW w:w="1405" w:type="dxa"/>
          </w:tcPr>
          <w:p w14:paraId="14EB2645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PRIHODI</w:t>
            </w:r>
          </w:p>
        </w:tc>
        <w:tc>
          <w:tcPr>
            <w:tcW w:w="1504" w:type="dxa"/>
          </w:tcPr>
          <w:p w14:paraId="1C27ECED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42B8FAFE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</w:tr>
      <w:tr w:rsidR="00CF36DD" w:rsidRPr="00CF36DD" w14:paraId="58E7D9DB" w14:textId="77777777" w:rsidTr="00564393">
        <w:tc>
          <w:tcPr>
            <w:tcW w:w="1549" w:type="dxa"/>
          </w:tcPr>
          <w:p w14:paraId="03C74579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Dodatna ulaganja – priključci na objekte u vlasništvu grada</w:t>
            </w:r>
          </w:p>
        </w:tc>
        <w:tc>
          <w:tcPr>
            <w:tcW w:w="1504" w:type="dxa"/>
            <w:vAlign w:val="center"/>
          </w:tcPr>
          <w:p w14:paraId="0EC0D98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95.000,00</w:t>
            </w:r>
          </w:p>
        </w:tc>
        <w:tc>
          <w:tcPr>
            <w:tcW w:w="1549" w:type="dxa"/>
            <w:vAlign w:val="center"/>
          </w:tcPr>
          <w:p w14:paraId="1766983E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1.979,77</w:t>
            </w:r>
          </w:p>
        </w:tc>
        <w:tc>
          <w:tcPr>
            <w:tcW w:w="1405" w:type="dxa"/>
            <w:vMerge w:val="restart"/>
            <w:vAlign w:val="center"/>
          </w:tcPr>
          <w:p w14:paraId="55EB47D5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Opći prihodi i primici proračuna</w:t>
            </w:r>
          </w:p>
        </w:tc>
        <w:tc>
          <w:tcPr>
            <w:tcW w:w="1504" w:type="dxa"/>
            <w:vMerge w:val="restart"/>
            <w:vAlign w:val="center"/>
          </w:tcPr>
          <w:p w14:paraId="3E2F90E5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1.733.000,00</w:t>
            </w:r>
          </w:p>
        </w:tc>
        <w:tc>
          <w:tcPr>
            <w:tcW w:w="1549" w:type="dxa"/>
            <w:vMerge w:val="restart"/>
            <w:vAlign w:val="center"/>
          </w:tcPr>
          <w:p w14:paraId="41D664DA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1.627.742,02</w:t>
            </w:r>
          </w:p>
        </w:tc>
      </w:tr>
      <w:tr w:rsidR="00CF36DD" w:rsidRPr="00CF36DD" w14:paraId="601B304C" w14:textId="77777777" w:rsidTr="00564393">
        <w:tc>
          <w:tcPr>
            <w:tcW w:w="1549" w:type="dxa"/>
          </w:tcPr>
          <w:p w14:paraId="519D9E85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bookmarkStart w:id="3" w:name="_Hlk98783297"/>
            <w:r w:rsidRPr="00CF36DD">
              <w:rPr>
                <w:rFonts w:ascii="Times New Roman" w:hAnsi="Times New Roman"/>
                <w:sz w:val="22"/>
                <w:szCs w:val="22"/>
              </w:rPr>
              <w:t>Dodatna ulaganja u sportske objekte Mladost</w:t>
            </w:r>
            <w:bookmarkEnd w:id="3"/>
          </w:p>
        </w:tc>
        <w:tc>
          <w:tcPr>
            <w:tcW w:w="1504" w:type="dxa"/>
            <w:vAlign w:val="center"/>
          </w:tcPr>
          <w:p w14:paraId="26D726BD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557.000,00</w:t>
            </w:r>
          </w:p>
        </w:tc>
        <w:tc>
          <w:tcPr>
            <w:tcW w:w="1549" w:type="dxa"/>
            <w:vAlign w:val="center"/>
          </w:tcPr>
          <w:p w14:paraId="26F5F302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556.528,19</w:t>
            </w:r>
          </w:p>
        </w:tc>
        <w:tc>
          <w:tcPr>
            <w:tcW w:w="1405" w:type="dxa"/>
            <w:vMerge/>
            <w:vAlign w:val="center"/>
          </w:tcPr>
          <w:p w14:paraId="44785F1B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58E55E4E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725FCBD2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647F8447" w14:textId="77777777" w:rsidTr="00564393">
        <w:tc>
          <w:tcPr>
            <w:tcW w:w="1549" w:type="dxa"/>
          </w:tcPr>
          <w:p w14:paraId="0E18BAF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 xml:space="preserve">Dodatna ulaganja na poslovnim prostorima </w:t>
            </w:r>
          </w:p>
        </w:tc>
        <w:tc>
          <w:tcPr>
            <w:tcW w:w="1504" w:type="dxa"/>
            <w:vAlign w:val="center"/>
          </w:tcPr>
          <w:p w14:paraId="65C84F2B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581.000,00</w:t>
            </w:r>
          </w:p>
        </w:tc>
        <w:tc>
          <w:tcPr>
            <w:tcW w:w="1549" w:type="dxa"/>
            <w:vAlign w:val="center"/>
          </w:tcPr>
          <w:p w14:paraId="5092177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579.755,19</w:t>
            </w:r>
          </w:p>
        </w:tc>
        <w:tc>
          <w:tcPr>
            <w:tcW w:w="1405" w:type="dxa"/>
            <w:vMerge/>
            <w:vAlign w:val="center"/>
          </w:tcPr>
          <w:p w14:paraId="0F9BDB59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693A9D0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08A607A2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7C4834C6" w14:textId="77777777" w:rsidTr="00564393">
        <w:tc>
          <w:tcPr>
            <w:tcW w:w="1549" w:type="dxa"/>
          </w:tcPr>
          <w:p w14:paraId="0B027B0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bookmarkStart w:id="4" w:name="_Hlk98783445"/>
            <w:r w:rsidRPr="00CF36DD">
              <w:rPr>
                <w:rFonts w:ascii="Times New Roman" w:hAnsi="Times New Roman"/>
                <w:sz w:val="22"/>
                <w:szCs w:val="22"/>
              </w:rPr>
              <w:t xml:space="preserve">Dodatna ulaganja u </w:t>
            </w:r>
            <w:r w:rsidRPr="00CF36DD">
              <w:rPr>
                <w:rFonts w:ascii="Times New Roman" w:hAnsi="Times New Roman"/>
                <w:sz w:val="22"/>
                <w:szCs w:val="22"/>
              </w:rPr>
              <w:lastRenderedPageBreak/>
              <w:t>ostale sportske objekte</w:t>
            </w:r>
            <w:bookmarkEnd w:id="4"/>
          </w:p>
        </w:tc>
        <w:tc>
          <w:tcPr>
            <w:tcW w:w="1504" w:type="dxa"/>
            <w:vAlign w:val="center"/>
          </w:tcPr>
          <w:p w14:paraId="7935755B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lastRenderedPageBreak/>
              <w:t>500.000,00</w:t>
            </w:r>
          </w:p>
        </w:tc>
        <w:tc>
          <w:tcPr>
            <w:tcW w:w="1549" w:type="dxa"/>
            <w:vAlign w:val="center"/>
          </w:tcPr>
          <w:p w14:paraId="12E41368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489.478,90</w:t>
            </w:r>
          </w:p>
        </w:tc>
        <w:tc>
          <w:tcPr>
            <w:tcW w:w="1405" w:type="dxa"/>
            <w:vMerge/>
            <w:vAlign w:val="center"/>
          </w:tcPr>
          <w:p w14:paraId="52C92D42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0ADA2AD3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6EA99F11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51743E23" w14:textId="77777777" w:rsidTr="00564393">
        <w:tc>
          <w:tcPr>
            <w:tcW w:w="1549" w:type="dxa"/>
          </w:tcPr>
          <w:p w14:paraId="791D9BD1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Dodatna ulaganja na stanovima u vlasništvu grada</w:t>
            </w:r>
          </w:p>
        </w:tc>
        <w:tc>
          <w:tcPr>
            <w:tcW w:w="1504" w:type="dxa"/>
            <w:vAlign w:val="center"/>
          </w:tcPr>
          <w:p w14:paraId="7FEFA5E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599.500,00</w:t>
            </w:r>
          </w:p>
        </w:tc>
        <w:tc>
          <w:tcPr>
            <w:tcW w:w="1549" w:type="dxa"/>
            <w:vAlign w:val="center"/>
          </w:tcPr>
          <w:p w14:paraId="27BD3876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587.469,37</w:t>
            </w:r>
          </w:p>
        </w:tc>
        <w:tc>
          <w:tcPr>
            <w:tcW w:w="1405" w:type="dxa"/>
            <w:vMerge/>
            <w:vAlign w:val="center"/>
          </w:tcPr>
          <w:p w14:paraId="212BC5B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274D7FFC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6333B359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35FF9C89" w14:textId="77777777" w:rsidTr="00564393">
        <w:tc>
          <w:tcPr>
            <w:tcW w:w="1549" w:type="dxa"/>
          </w:tcPr>
          <w:p w14:paraId="7380B8A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Dodatna ulaganja na poslovnim prostorima</w:t>
            </w:r>
          </w:p>
        </w:tc>
        <w:tc>
          <w:tcPr>
            <w:tcW w:w="1504" w:type="dxa"/>
            <w:vAlign w:val="center"/>
          </w:tcPr>
          <w:p w14:paraId="2C37D241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195.098,00</w:t>
            </w:r>
          </w:p>
        </w:tc>
        <w:tc>
          <w:tcPr>
            <w:tcW w:w="1549" w:type="dxa"/>
            <w:vAlign w:val="center"/>
          </w:tcPr>
          <w:p w14:paraId="7489D277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194.177,50</w:t>
            </w:r>
          </w:p>
        </w:tc>
        <w:tc>
          <w:tcPr>
            <w:tcW w:w="1405" w:type="dxa"/>
            <w:vMerge/>
            <w:vAlign w:val="center"/>
          </w:tcPr>
          <w:p w14:paraId="665C0AAD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74127AF7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04045A0F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24F841" w14:textId="77777777" w:rsidR="00CF36DD" w:rsidRPr="00CF36DD" w:rsidRDefault="00CF36DD" w:rsidP="00CF36DD">
      <w:pPr>
        <w:spacing w:line="276" w:lineRule="auto"/>
        <w:ind w:left="720" w:firstLine="360"/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754B033" w14:textId="77777777" w:rsidR="00CF36DD" w:rsidRPr="00CF36DD" w:rsidRDefault="00CF36DD" w:rsidP="00CF36DD">
      <w:pPr>
        <w:spacing w:line="276" w:lineRule="auto"/>
        <w:ind w:left="720" w:firstLine="360"/>
        <w:contextualSpacing/>
        <w:jc w:val="both"/>
        <w:rPr>
          <w:rFonts w:ascii="Times New Roman" w:eastAsia="Calibri" w:hAnsi="Times New Roman"/>
          <w:sz w:val="22"/>
          <w:szCs w:val="22"/>
        </w:rPr>
      </w:pPr>
      <w:bookmarkStart w:id="5" w:name="_Hlk99699835"/>
      <w:r w:rsidRPr="00CF36DD">
        <w:rPr>
          <w:rFonts w:ascii="Times New Roman" w:eastAsia="Calibri" w:hAnsi="Times New Roman"/>
          <w:sz w:val="22"/>
          <w:szCs w:val="22"/>
        </w:rPr>
        <w:t>U odnosu na druge izmjene i dopune Programa upravljanje objektima u vlasništvu Grada u 2021. godini naknadno su izvršene izmjene preraspodjelom Proračuna sukladno Zakonu o proračunu na način da jedna stavka smanjena i jedna povećana:</w:t>
      </w:r>
    </w:p>
    <w:p w14:paraId="36F88585" w14:textId="77777777" w:rsidR="00CF36DD" w:rsidRPr="00CF36DD" w:rsidRDefault="00CF36DD" w:rsidP="00CF36DD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Stavka Dodatna ulaganja- priključci na objektima smanjena je sa 100.000,00 na 95.000,00 kn</w:t>
      </w:r>
    </w:p>
    <w:p w14:paraId="772715DB" w14:textId="77777777" w:rsidR="00CF36DD" w:rsidRPr="00CF36DD" w:rsidRDefault="00CF36DD" w:rsidP="00CF36DD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Stavka Dodatna ulaganja u sportske objekte Mladost povećana je sa 479.000,00 na 557.000,00 kn</w:t>
      </w:r>
    </w:p>
    <w:bookmarkEnd w:id="5"/>
    <w:p w14:paraId="317E6AE5" w14:textId="77777777" w:rsidR="00CF36DD" w:rsidRPr="00CF36DD" w:rsidRDefault="00CF36DD" w:rsidP="00CF36DD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Dodatna ulaganja – priključci na objekte u vlasništvu grada</w:t>
      </w:r>
    </w:p>
    <w:p w14:paraId="59D7A23D" w14:textId="77777777" w:rsidR="00CF36DD" w:rsidRPr="00CF36DD" w:rsidRDefault="00CF36DD" w:rsidP="00CF36DD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Dodatna ulaganja u sportske objekte Mladost – izvedena prva faza uređenja streljane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Jamadol</w:t>
      </w:r>
      <w:proofErr w:type="spellEnd"/>
    </w:p>
    <w:p w14:paraId="4077F034" w14:textId="77777777" w:rsidR="00CF36DD" w:rsidRPr="00CF36DD" w:rsidRDefault="00CF36DD" w:rsidP="00CF36DD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Dodatna ulaganja na poslovnim prostorima – uređenje poslovnog prostora i sanitarnog čvora na 1. katu upravne zgrade u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Banjavčićevoj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9</w:t>
      </w:r>
    </w:p>
    <w:p w14:paraId="5446BFE6" w14:textId="77777777" w:rsidR="00CF36DD" w:rsidRPr="00CF36DD" w:rsidRDefault="00CF36DD" w:rsidP="00CF36DD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Dodatna ulaganja u ostale sportske objekte – sanacija elektroinstalacija prostorija Veslačkog kluba Korana i prostorija NK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Ilovac</w:t>
      </w:r>
      <w:proofErr w:type="spellEnd"/>
    </w:p>
    <w:p w14:paraId="393CBF8F" w14:textId="77777777" w:rsidR="00CF36DD" w:rsidRPr="00CF36DD" w:rsidRDefault="00CF36DD" w:rsidP="00CF36DD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Dodatna ulaganja na stanovima u vlasništvu grada – izvedeni radovi uređenja u stanovima na adresama M. Vrhovca 3, R.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Strohala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4, Masarykova 3a i Obala Trnskog 18</w:t>
      </w:r>
    </w:p>
    <w:p w14:paraId="6A8DA517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570362E2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</w:rPr>
      </w:pPr>
      <w:r w:rsidRPr="00CF36DD">
        <w:rPr>
          <w:rFonts w:ascii="Times New Roman" w:eastAsia="Calibri" w:hAnsi="Times New Roman"/>
          <w:b/>
          <w:bCs/>
          <w:sz w:val="22"/>
          <w:szCs w:val="22"/>
          <w:u w:val="single"/>
        </w:rPr>
        <w:t>4. IZRADA PROJEKTNE DOKUMENTACIJE</w:t>
      </w:r>
    </w:p>
    <w:p w14:paraId="37F557C9" w14:textId="77777777" w:rsidR="00CF36DD" w:rsidRPr="00CF36DD" w:rsidRDefault="00CF36DD" w:rsidP="00CF36D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49"/>
        <w:gridCol w:w="147"/>
        <w:gridCol w:w="1357"/>
        <w:gridCol w:w="1549"/>
        <w:gridCol w:w="1405"/>
        <w:gridCol w:w="1504"/>
        <w:gridCol w:w="1549"/>
      </w:tblGrid>
      <w:tr w:rsidR="00CF36DD" w:rsidRPr="00CF36DD" w14:paraId="6CDF8D1F" w14:textId="77777777" w:rsidTr="00564393">
        <w:tc>
          <w:tcPr>
            <w:tcW w:w="4602" w:type="dxa"/>
            <w:gridSpan w:val="4"/>
            <w:vAlign w:val="center"/>
          </w:tcPr>
          <w:p w14:paraId="5A359222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RASHODI</w:t>
            </w:r>
          </w:p>
        </w:tc>
        <w:tc>
          <w:tcPr>
            <w:tcW w:w="4458" w:type="dxa"/>
            <w:gridSpan w:val="3"/>
            <w:vAlign w:val="center"/>
          </w:tcPr>
          <w:p w14:paraId="54341391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IZVORI FINANCIRANJA</w:t>
            </w:r>
          </w:p>
        </w:tc>
      </w:tr>
      <w:tr w:rsidR="00CF36DD" w:rsidRPr="00CF36DD" w14:paraId="552D0B12" w14:textId="77777777" w:rsidTr="00564393">
        <w:tc>
          <w:tcPr>
            <w:tcW w:w="1549" w:type="dxa"/>
          </w:tcPr>
          <w:p w14:paraId="5735CA3B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AKTIVNOSTI</w:t>
            </w:r>
          </w:p>
        </w:tc>
        <w:tc>
          <w:tcPr>
            <w:tcW w:w="1504" w:type="dxa"/>
            <w:gridSpan w:val="2"/>
          </w:tcPr>
          <w:p w14:paraId="459C2FE5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13E644B4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  <w:tc>
          <w:tcPr>
            <w:tcW w:w="1405" w:type="dxa"/>
          </w:tcPr>
          <w:p w14:paraId="03E65F12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PRIHODI</w:t>
            </w:r>
          </w:p>
        </w:tc>
        <w:tc>
          <w:tcPr>
            <w:tcW w:w="1504" w:type="dxa"/>
          </w:tcPr>
          <w:p w14:paraId="37D9F96D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PLANIRANO</w:t>
            </w:r>
          </w:p>
        </w:tc>
        <w:tc>
          <w:tcPr>
            <w:tcW w:w="1549" w:type="dxa"/>
          </w:tcPr>
          <w:p w14:paraId="404293CE" w14:textId="77777777" w:rsidR="00CF36DD" w:rsidRPr="00CF36DD" w:rsidRDefault="00CF36DD" w:rsidP="00CF36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</w:tr>
      <w:tr w:rsidR="00CF36DD" w:rsidRPr="00CF36DD" w14:paraId="2D1367BF" w14:textId="77777777" w:rsidTr="00564393">
        <w:tc>
          <w:tcPr>
            <w:tcW w:w="1696" w:type="dxa"/>
            <w:gridSpan w:val="2"/>
          </w:tcPr>
          <w:p w14:paraId="3C0E8516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Rashodi za usluge</w:t>
            </w:r>
          </w:p>
        </w:tc>
        <w:tc>
          <w:tcPr>
            <w:tcW w:w="1357" w:type="dxa"/>
            <w:vAlign w:val="center"/>
          </w:tcPr>
          <w:p w14:paraId="141464C7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200.000,00</w:t>
            </w:r>
          </w:p>
        </w:tc>
        <w:tc>
          <w:tcPr>
            <w:tcW w:w="1549" w:type="dxa"/>
            <w:vAlign w:val="center"/>
          </w:tcPr>
          <w:p w14:paraId="6D6ADA37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55.562,50</w:t>
            </w:r>
          </w:p>
        </w:tc>
        <w:tc>
          <w:tcPr>
            <w:tcW w:w="1405" w:type="dxa"/>
            <w:vMerge w:val="restart"/>
            <w:vAlign w:val="center"/>
          </w:tcPr>
          <w:p w14:paraId="37426B77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Opći prihodi i primici proračuna</w:t>
            </w:r>
          </w:p>
        </w:tc>
        <w:tc>
          <w:tcPr>
            <w:tcW w:w="1504" w:type="dxa"/>
            <w:vMerge w:val="restart"/>
            <w:vAlign w:val="center"/>
          </w:tcPr>
          <w:p w14:paraId="0A2174E6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1.182.000,00</w:t>
            </w:r>
          </w:p>
        </w:tc>
        <w:tc>
          <w:tcPr>
            <w:tcW w:w="1549" w:type="dxa"/>
            <w:vMerge w:val="restart"/>
            <w:vAlign w:val="center"/>
          </w:tcPr>
          <w:p w14:paraId="408E45AA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432.106,04</w:t>
            </w:r>
          </w:p>
        </w:tc>
      </w:tr>
      <w:tr w:rsidR="00CF36DD" w:rsidRPr="00CF36DD" w14:paraId="14EB6D9F" w14:textId="77777777" w:rsidTr="00564393">
        <w:tc>
          <w:tcPr>
            <w:tcW w:w="1696" w:type="dxa"/>
            <w:gridSpan w:val="2"/>
          </w:tcPr>
          <w:p w14:paraId="5C7FCDD2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Rashodi za usluge – upis cesta</w:t>
            </w:r>
          </w:p>
        </w:tc>
        <w:tc>
          <w:tcPr>
            <w:tcW w:w="1357" w:type="dxa"/>
            <w:vAlign w:val="center"/>
          </w:tcPr>
          <w:p w14:paraId="2E07DD69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175.000,00</w:t>
            </w:r>
          </w:p>
        </w:tc>
        <w:tc>
          <w:tcPr>
            <w:tcW w:w="1549" w:type="dxa"/>
            <w:vAlign w:val="center"/>
          </w:tcPr>
          <w:p w14:paraId="7EC5E31A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173.043,54</w:t>
            </w:r>
          </w:p>
        </w:tc>
        <w:tc>
          <w:tcPr>
            <w:tcW w:w="1405" w:type="dxa"/>
            <w:vMerge/>
            <w:vAlign w:val="center"/>
          </w:tcPr>
          <w:p w14:paraId="08A6541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6FF56CCB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355B918C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2E5F06C6" w14:textId="77777777" w:rsidTr="00564393">
        <w:tc>
          <w:tcPr>
            <w:tcW w:w="1696" w:type="dxa"/>
            <w:gridSpan w:val="2"/>
          </w:tcPr>
          <w:p w14:paraId="26D9245C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 xml:space="preserve">Projektna dokumentacija – KOD studija </w:t>
            </w:r>
          </w:p>
        </w:tc>
        <w:tc>
          <w:tcPr>
            <w:tcW w:w="1357" w:type="dxa"/>
            <w:vAlign w:val="center"/>
          </w:tcPr>
          <w:p w14:paraId="7354AEB7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380.000,00</w:t>
            </w:r>
          </w:p>
        </w:tc>
        <w:tc>
          <w:tcPr>
            <w:tcW w:w="1549" w:type="dxa"/>
            <w:vAlign w:val="center"/>
          </w:tcPr>
          <w:p w14:paraId="12BFA5C2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5" w:type="dxa"/>
            <w:vMerge/>
            <w:vAlign w:val="center"/>
          </w:tcPr>
          <w:p w14:paraId="5D46BFF1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7E3E70CA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3C79F955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6495C077" w14:textId="77777777" w:rsidTr="00564393">
        <w:tc>
          <w:tcPr>
            <w:tcW w:w="1696" w:type="dxa"/>
            <w:gridSpan w:val="2"/>
          </w:tcPr>
          <w:p w14:paraId="0E93AC0E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Projektna dokumentacija</w:t>
            </w:r>
          </w:p>
        </w:tc>
        <w:tc>
          <w:tcPr>
            <w:tcW w:w="1357" w:type="dxa"/>
            <w:vAlign w:val="center"/>
          </w:tcPr>
          <w:p w14:paraId="523C4B8F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295.000,00</w:t>
            </w:r>
          </w:p>
        </w:tc>
        <w:tc>
          <w:tcPr>
            <w:tcW w:w="1549" w:type="dxa"/>
            <w:vAlign w:val="center"/>
          </w:tcPr>
          <w:p w14:paraId="6E2B88CF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72.250,00</w:t>
            </w:r>
          </w:p>
        </w:tc>
        <w:tc>
          <w:tcPr>
            <w:tcW w:w="1405" w:type="dxa"/>
            <w:vMerge/>
            <w:vAlign w:val="center"/>
          </w:tcPr>
          <w:p w14:paraId="172C6191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1CA7AE9A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67E202E4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6DD" w:rsidRPr="00CF36DD" w14:paraId="1207CC97" w14:textId="77777777" w:rsidTr="00564393">
        <w:tc>
          <w:tcPr>
            <w:tcW w:w="1696" w:type="dxa"/>
            <w:gridSpan w:val="2"/>
          </w:tcPr>
          <w:p w14:paraId="600574B0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Nematerijalna proizvedena imovina studija javni gradski prijevoz</w:t>
            </w:r>
          </w:p>
        </w:tc>
        <w:tc>
          <w:tcPr>
            <w:tcW w:w="1357" w:type="dxa"/>
            <w:vAlign w:val="center"/>
          </w:tcPr>
          <w:p w14:paraId="4C5A6D83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132.000,00</w:t>
            </w:r>
          </w:p>
        </w:tc>
        <w:tc>
          <w:tcPr>
            <w:tcW w:w="1549" w:type="dxa"/>
            <w:vAlign w:val="center"/>
          </w:tcPr>
          <w:p w14:paraId="442811CE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DD">
              <w:rPr>
                <w:rFonts w:ascii="Times New Roman" w:hAnsi="Times New Roman"/>
                <w:sz w:val="22"/>
                <w:szCs w:val="22"/>
              </w:rPr>
              <w:t>131.250,00</w:t>
            </w:r>
          </w:p>
        </w:tc>
        <w:tc>
          <w:tcPr>
            <w:tcW w:w="1405" w:type="dxa"/>
            <w:vMerge/>
            <w:vAlign w:val="center"/>
          </w:tcPr>
          <w:p w14:paraId="503FF629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vMerge/>
            <w:vAlign w:val="center"/>
          </w:tcPr>
          <w:p w14:paraId="40D35311" w14:textId="77777777" w:rsidR="00CF36DD" w:rsidRPr="00CF36DD" w:rsidRDefault="00CF36DD" w:rsidP="00CF36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14:paraId="06269AA8" w14:textId="77777777" w:rsidR="00CF36DD" w:rsidRPr="00CF36DD" w:rsidRDefault="00CF36DD" w:rsidP="00CF36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40811D" w14:textId="77777777" w:rsidR="00CF36DD" w:rsidRPr="00CF36DD" w:rsidRDefault="00CF36DD" w:rsidP="00CF36DD">
      <w:pPr>
        <w:spacing w:line="276" w:lineRule="auto"/>
        <w:ind w:left="720" w:firstLine="360"/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5A62195" w14:textId="77777777" w:rsidR="00CF36DD" w:rsidRPr="00CF36DD" w:rsidRDefault="00CF36DD" w:rsidP="00CF36DD">
      <w:pPr>
        <w:spacing w:line="276" w:lineRule="auto"/>
        <w:ind w:left="720" w:firstLine="360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U odnosu na druge izmjene i dopune Programa upravljanje objektima u vlasništvu Grada u 2021. godini naknadno su izvršene izmjene preraspodjelom Proračuna sukladno Zakonu o proračunu na način da su dvije stavke smanjene:</w:t>
      </w:r>
    </w:p>
    <w:p w14:paraId="6163281E" w14:textId="77777777" w:rsidR="00CF36DD" w:rsidRPr="00CF36DD" w:rsidRDefault="00CF36DD" w:rsidP="00CF36D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Stavka rashodi za usluge- upis cesta smanjena je sa 175.000,00 na 170.000,00 kn</w:t>
      </w:r>
    </w:p>
    <w:p w14:paraId="340702AE" w14:textId="77777777" w:rsidR="00CF36DD" w:rsidRPr="00CF36DD" w:rsidRDefault="00CF36DD" w:rsidP="00CF36D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lastRenderedPageBreak/>
        <w:t>Stavka projektna dokumentacija – KOD studija smanjena je sa 400.000,00 na 380.000,00 kn</w:t>
      </w:r>
    </w:p>
    <w:p w14:paraId="0BFEA9C0" w14:textId="77777777" w:rsidR="00CF36DD" w:rsidRPr="00CF36DD" w:rsidRDefault="00CF36DD" w:rsidP="00CF36D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Rashodi za usluge – više manjih usluga izrada troškovnika i prometnih elaborata</w:t>
      </w:r>
    </w:p>
    <w:p w14:paraId="43C2EABD" w14:textId="77777777" w:rsidR="00CF36DD" w:rsidRPr="00CF36DD" w:rsidRDefault="00CF36DD" w:rsidP="00CF36D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Rashodi za usluge – upis cesta – upisano 47 cesta u ukupnoj dužini od 31.375,0 m</w:t>
      </w:r>
    </w:p>
    <w:p w14:paraId="27B43326" w14:textId="77777777" w:rsidR="00CF36DD" w:rsidRPr="00CF36DD" w:rsidRDefault="00CF36DD" w:rsidP="00CF36D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 xml:space="preserve">Projektna dokumentacija – nabavljena projektna dokumentacija za asfaltiranje 3 makadamske ceste – Gaza,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Bukovlje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i </w:t>
      </w:r>
      <w:proofErr w:type="spellStart"/>
      <w:r w:rsidRPr="00CF36DD">
        <w:rPr>
          <w:rFonts w:ascii="Times New Roman" w:eastAsia="Calibri" w:hAnsi="Times New Roman"/>
          <w:sz w:val="22"/>
          <w:szCs w:val="22"/>
        </w:rPr>
        <w:t>Priselci</w:t>
      </w:r>
      <w:proofErr w:type="spellEnd"/>
      <w:r w:rsidRPr="00CF36DD">
        <w:rPr>
          <w:rFonts w:ascii="Times New Roman" w:eastAsia="Calibri" w:hAnsi="Times New Roman"/>
          <w:sz w:val="22"/>
          <w:szCs w:val="22"/>
        </w:rPr>
        <w:t xml:space="preserve"> donji u ukupnoj dužini 3.010,0 m</w:t>
      </w:r>
    </w:p>
    <w:p w14:paraId="471AEE27" w14:textId="77777777" w:rsidR="00CF36DD" w:rsidRPr="00CF36DD" w:rsidRDefault="00CF36DD" w:rsidP="00CF36D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F36DD">
        <w:rPr>
          <w:rFonts w:ascii="Times New Roman" w:eastAsia="Calibri" w:hAnsi="Times New Roman"/>
          <w:sz w:val="22"/>
          <w:szCs w:val="22"/>
        </w:rPr>
        <w:t>Nematerijalna proizvedena imovina – izrada studije javnog gradskog prijevoza</w:t>
      </w:r>
    </w:p>
    <w:p w14:paraId="6F2F3498" w14:textId="77777777" w:rsidR="00CF36DD" w:rsidRPr="00CF36DD" w:rsidRDefault="00CF36DD" w:rsidP="00CF36DD">
      <w:pPr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50675319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AD0CB7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75A2422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689725F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438381F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5B8B00E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8A5DE87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2A506BF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175CC44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B49DFE1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DEBAFC7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2256150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817EBCC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79AB5DC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1222935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62010B5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336D6E9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9F1D684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5AD53AC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B3618B9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112591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4E26575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57BFF4A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ADF7477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ECFD544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5BCDB19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97F48C4" w14:textId="77777777" w:rsid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10190AD" w14:textId="492E1F9B" w:rsidR="00CF36DD" w:rsidRPr="00CF36DD" w:rsidRDefault="00CF36DD" w:rsidP="00CF36DD">
      <w:pPr>
        <w:spacing w:after="160" w:line="259" w:lineRule="auto"/>
        <w:jc w:val="center"/>
        <w:rPr>
          <w:rFonts w:ascii="Times New Roman" w:hAnsi="Times New Roman"/>
          <w:b/>
          <w:sz w:val="22"/>
          <w:szCs w:val="22"/>
        </w:rPr>
      </w:pPr>
      <w:r w:rsidRPr="00CF36DD">
        <w:rPr>
          <w:rFonts w:ascii="Times New Roman" w:hAnsi="Times New Roman"/>
          <w:b/>
          <w:sz w:val="22"/>
          <w:szCs w:val="22"/>
        </w:rPr>
        <w:lastRenderedPageBreak/>
        <w:t>OBRAZLOŽENJE</w:t>
      </w:r>
    </w:p>
    <w:p w14:paraId="3417EE3A" w14:textId="77777777" w:rsidR="00CF36DD" w:rsidRPr="00CF36DD" w:rsidRDefault="00CF36DD" w:rsidP="00CF36DD">
      <w:pPr>
        <w:spacing w:after="160"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>Na temelju Zakona o komunalnom gospodarstvu definirana je obveza prikaza Izvješća o realizaciji Programa upravljanje objektima u vlasništvu Grada za prethodnu kalendarsku godinu.</w:t>
      </w:r>
    </w:p>
    <w:p w14:paraId="151AF573" w14:textId="77777777" w:rsidR="00CF36DD" w:rsidRPr="00CF36DD" w:rsidRDefault="00CF36DD" w:rsidP="00CF36DD">
      <w:pPr>
        <w:spacing w:after="160"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>Program</w:t>
      </w:r>
      <w:r w:rsidRPr="00CF36DD">
        <w:rPr>
          <w:rFonts w:ascii="Times New Roman" w:eastAsia="Calibri" w:hAnsi="Times New Roman"/>
          <w:sz w:val="22"/>
          <w:szCs w:val="22"/>
        </w:rPr>
        <w:t xml:space="preserve"> </w:t>
      </w:r>
      <w:r w:rsidRPr="00CF36DD">
        <w:rPr>
          <w:rFonts w:ascii="Times New Roman" w:hAnsi="Times New Roman"/>
          <w:sz w:val="22"/>
          <w:szCs w:val="22"/>
        </w:rPr>
        <w:t>upravljanje objektima u vlasništvu Grada</w:t>
      </w:r>
      <w:r w:rsidRPr="00CF36DD">
        <w:rPr>
          <w:rFonts w:ascii="Times New Roman" w:eastAsia="Calibri" w:hAnsi="Times New Roman"/>
          <w:sz w:val="22"/>
          <w:szCs w:val="22"/>
        </w:rPr>
        <w:t xml:space="preserve"> za 2021. godinu</w:t>
      </w:r>
      <w:r w:rsidRPr="00CF36DD">
        <w:rPr>
          <w:rFonts w:ascii="Times New Roman" w:hAnsi="Times New Roman"/>
          <w:sz w:val="22"/>
          <w:szCs w:val="22"/>
        </w:rPr>
        <w:t xml:space="preserve"> realiziran je prema utvrđenom planu.</w:t>
      </w:r>
    </w:p>
    <w:p w14:paraId="4646FB9B" w14:textId="77777777" w:rsidR="00CF36DD" w:rsidRPr="00CF36DD" w:rsidRDefault="00CF36DD" w:rsidP="00CF36DD">
      <w:pPr>
        <w:spacing w:after="160"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 xml:space="preserve">Financiranje ovog Programa izvršeno je iz prihoda od prodaje stambenih objekata, prihoda od prodaje poslovnih objekata i općih prihoda i primitaka proračuna. </w:t>
      </w:r>
    </w:p>
    <w:p w14:paraId="2C2F3BB2" w14:textId="77777777" w:rsidR="00CF36DD" w:rsidRPr="00CF36DD" w:rsidRDefault="00CF36DD" w:rsidP="00CF36DD">
      <w:pPr>
        <w:spacing w:after="160"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>Program za 2021. godinu realiziran je u skladu sa potrebama i financijskim sredstvima osiguranim u Proračunu.</w:t>
      </w:r>
    </w:p>
    <w:p w14:paraId="2B11D74F" w14:textId="77777777" w:rsidR="00CF36DD" w:rsidRPr="00CF36DD" w:rsidRDefault="00CF36DD" w:rsidP="00CF36DD">
      <w:pPr>
        <w:spacing w:after="160"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>Predlažemo da se ovakvo Izvješće usvoji.</w:t>
      </w:r>
    </w:p>
    <w:p w14:paraId="667DBBA7" w14:textId="77777777" w:rsidR="00CF36DD" w:rsidRPr="00CF36DD" w:rsidRDefault="00CF36DD" w:rsidP="00CF36DD">
      <w:pPr>
        <w:spacing w:after="120" w:line="259" w:lineRule="auto"/>
        <w:jc w:val="both"/>
        <w:rPr>
          <w:rFonts w:ascii="Times New Roman" w:hAnsi="Times New Roman"/>
          <w:sz w:val="22"/>
          <w:szCs w:val="22"/>
        </w:rPr>
      </w:pPr>
    </w:p>
    <w:p w14:paraId="0094DA3A" w14:textId="77777777" w:rsidR="00CF36DD" w:rsidRPr="00CF36DD" w:rsidRDefault="00CF36DD" w:rsidP="00CF36DD">
      <w:pPr>
        <w:spacing w:after="120" w:line="259" w:lineRule="auto"/>
        <w:jc w:val="both"/>
        <w:rPr>
          <w:rFonts w:ascii="Times New Roman" w:hAnsi="Times New Roman"/>
          <w:sz w:val="22"/>
          <w:szCs w:val="22"/>
        </w:rPr>
      </w:pPr>
    </w:p>
    <w:p w14:paraId="69848D67" w14:textId="77777777" w:rsidR="00CF36DD" w:rsidRPr="00CF36DD" w:rsidRDefault="00CF36DD" w:rsidP="00CF36DD">
      <w:pPr>
        <w:spacing w:line="259" w:lineRule="auto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  <w:t>PROČELNIK</w:t>
      </w:r>
    </w:p>
    <w:p w14:paraId="1D319A50" w14:textId="77777777" w:rsidR="00CF36DD" w:rsidRPr="00CF36DD" w:rsidRDefault="00CF36DD" w:rsidP="00CF36DD">
      <w:pPr>
        <w:spacing w:line="259" w:lineRule="auto"/>
        <w:jc w:val="both"/>
        <w:rPr>
          <w:rFonts w:ascii="Times New Roman" w:hAnsi="Times New Roman"/>
          <w:sz w:val="22"/>
          <w:szCs w:val="22"/>
        </w:rPr>
      </w:pP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</w:r>
      <w:r w:rsidRPr="00CF36DD">
        <w:rPr>
          <w:rFonts w:ascii="Times New Roman" w:hAnsi="Times New Roman"/>
          <w:sz w:val="22"/>
          <w:szCs w:val="22"/>
        </w:rPr>
        <w:tab/>
        <w:t xml:space="preserve">Dario </w:t>
      </w:r>
      <w:proofErr w:type="spellStart"/>
      <w:r w:rsidRPr="00CF36DD">
        <w:rPr>
          <w:rFonts w:ascii="Times New Roman" w:hAnsi="Times New Roman"/>
          <w:sz w:val="22"/>
          <w:szCs w:val="22"/>
        </w:rPr>
        <w:t>Greb</w:t>
      </w:r>
      <w:proofErr w:type="spellEnd"/>
      <w:r w:rsidRPr="00CF36D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F36DD">
        <w:rPr>
          <w:rFonts w:ascii="Times New Roman" w:hAnsi="Times New Roman"/>
          <w:sz w:val="22"/>
          <w:szCs w:val="22"/>
        </w:rPr>
        <w:t>dipl.ing.prom</w:t>
      </w:r>
      <w:proofErr w:type="spellEnd"/>
      <w:r w:rsidRPr="00CF36DD">
        <w:rPr>
          <w:rFonts w:ascii="Times New Roman" w:hAnsi="Times New Roman"/>
          <w:sz w:val="22"/>
          <w:szCs w:val="22"/>
        </w:rPr>
        <w:t>.</w:t>
      </w:r>
    </w:p>
    <w:p w14:paraId="12F9B19A" w14:textId="77777777" w:rsidR="00CF36DD" w:rsidRPr="00CF36DD" w:rsidRDefault="00CF36DD" w:rsidP="00CF36DD">
      <w:pPr>
        <w:spacing w:after="120" w:line="259" w:lineRule="auto"/>
        <w:jc w:val="both"/>
        <w:rPr>
          <w:rFonts w:ascii="Times New Roman" w:hAnsi="Times New Roman"/>
          <w:sz w:val="22"/>
          <w:szCs w:val="22"/>
        </w:rPr>
      </w:pPr>
    </w:p>
    <w:p w14:paraId="101F1FD0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15143140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42B2310D" w14:textId="77777777" w:rsidR="00CF36DD" w:rsidRPr="00CF36DD" w:rsidRDefault="00CF36DD" w:rsidP="00CF36DD">
      <w:pPr>
        <w:spacing w:line="259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70728B20" w14:textId="77777777" w:rsidR="00CF36DD" w:rsidRPr="00DA4924" w:rsidRDefault="00CF36DD" w:rsidP="00F205F8">
      <w:pPr>
        <w:jc w:val="both"/>
        <w:rPr>
          <w:rFonts w:ascii="Times New Roman" w:hAnsi="Times New Roman"/>
          <w:sz w:val="22"/>
          <w:szCs w:val="22"/>
        </w:rPr>
      </w:pPr>
    </w:p>
    <w:sectPr w:rsidR="00CF36DD" w:rsidRPr="00DA4924" w:rsidSect="008252A6"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C6BB" w14:textId="77777777" w:rsidR="00A7528A" w:rsidRDefault="00A7528A" w:rsidP="00BA0EFF">
      <w:r>
        <w:separator/>
      </w:r>
    </w:p>
  </w:endnote>
  <w:endnote w:type="continuationSeparator" w:id="0">
    <w:p w14:paraId="0FF7105B" w14:textId="77777777" w:rsidR="00A7528A" w:rsidRDefault="00A7528A" w:rsidP="00BA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21E" w14:textId="77777777" w:rsidR="00023FE0" w:rsidRDefault="00023FE0" w:rsidP="00023FE0">
    <w:pPr>
      <w:pStyle w:val="Podnoje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Grad Karlovac, </w:t>
    </w:r>
    <w:r>
      <w:rPr>
        <w:rFonts w:ascii="Times New Roman" w:hAnsi="Times New Roman"/>
        <w:color w:val="000000"/>
        <w:sz w:val="18"/>
        <w:szCs w:val="20"/>
      </w:rPr>
      <w:t>Gradonačelnik</w:t>
    </w:r>
    <w:r>
      <w:rPr>
        <w:rFonts w:ascii="Times New Roman" w:hAnsi="Times New Roman"/>
        <w:sz w:val="18"/>
        <w:szCs w:val="18"/>
      </w:rPr>
      <w:t xml:space="preserve">, </w:t>
    </w:r>
    <w:r w:rsidRPr="003114FE">
      <w:rPr>
        <w:rFonts w:ascii="Times New Roman" w:hAnsi="Times New Roman"/>
        <w:sz w:val="18"/>
        <w:szCs w:val="18"/>
      </w:rPr>
      <w:t>Banjavčićeva 9, 47000 Karlovac</w:t>
    </w:r>
    <w:r>
      <w:rPr>
        <w:rFonts w:ascii="Times New Roman" w:hAnsi="Times New Roman"/>
        <w:sz w:val="18"/>
        <w:szCs w:val="18"/>
      </w:rPr>
      <w:t>,</w:t>
    </w:r>
  </w:p>
  <w:p w14:paraId="771D18DF" w14:textId="77777777" w:rsidR="00023FE0" w:rsidRDefault="00023FE0" w:rsidP="00023FE0">
    <w:pPr>
      <w:pStyle w:val="Podnoje"/>
      <w:pBdr>
        <w:top w:val="single" w:sz="4" w:space="1" w:color="auto"/>
      </w:pBdr>
      <w:jc w:val="center"/>
    </w:pPr>
    <w:r>
      <w:rPr>
        <w:rFonts w:ascii="Times New Roman" w:hAnsi="Times New Roman"/>
        <w:sz w:val="18"/>
        <w:szCs w:val="18"/>
      </w:rPr>
      <w:t xml:space="preserve">OIB: 25654647153, </w:t>
    </w:r>
    <w:r w:rsidRPr="003114FE">
      <w:rPr>
        <w:rFonts w:ascii="Times New Roman" w:hAnsi="Times New Roman"/>
        <w:sz w:val="18"/>
        <w:szCs w:val="18"/>
      </w:rPr>
      <w:t>tel. +385 47 628</w:t>
    </w:r>
    <w:r>
      <w:rPr>
        <w:rFonts w:ascii="Times New Roman" w:hAnsi="Times New Roman"/>
        <w:sz w:val="18"/>
        <w:szCs w:val="18"/>
      </w:rPr>
      <w:t xml:space="preserve"> 100, fax: +385 47 628 134,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33A8" w14:textId="77777777" w:rsidR="00A7528A" w:rsidRDefault="00A7528A" w:rsidP="00BA0EFF">
      <w:r>
        <w:separator/>
      </w:r>
    </w:p>
  </w:footnote>
  <w:footnote w:type="continuationSeparator" w:id="0">
    <w:p w14:paraId="1467D71C" w14:textId="77777777" w:rsidR="00A7528A" w:rsidRDefault="00A7528A" w:rsidP="00BA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46E"/>
    <w:multiLevelType w:val="hybridMultilevel"/>
    <w:tmpl w:val="0F2080CC"/>
    <w:lvl w:ilvl="0" w:tplc="2E24A16A">
      <w:start w:val="19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5B1F"/>
    <w:multiLevelType w:val="hybridMultilevel"/>
    <w:tmpl w:val="5510D32E"/>
    <w:lvl w:ilvl="0" w:tplc="698EC8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4B0"/>
    <w:multiLevelType w:val="hybridMultilevel"/>
    <w:tmpl w:val="BE1CB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7D"/>
    <w:multiLevelType w:val="hybridMultilevel"/>
    <w:tmpl w:val="EB24495A"/>
    <w:lvl w:ilvl="0" w:tplc="CAA82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33F89"/>
    <w:multiLevelType w:val="hybridMultilevel"/>
    <w:tmpl w:val="1D5A6488"/>
    <w:lvl w:ilvl="0" w:tplc="C37A99BA">
      <w:start w:val="19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001A"/>
    <w:multiLevelType w:val="hybridMultilevel"/>
    <w:tmpl w:val="83C45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F8"/>
    <w:rsid w:val="00004F1B"/>
    <w:rsid w:val="00005929"/>
    <w:rsid w:val="00023FE0"/>
    <w:rsid w:val="00024AE7"/>
    <w:rsid w:val="00030F69"/>
    <w:rsid w:val="00032F56"/>
    <w:rsid w:val="000333DF"/>
    <w:rsid w:val="00050657"/>
    <w:rsid w:val="0005067D"/>
    <w:rsid w:val="0005204A"/>
    <w:rsid w:val="00052302"/>
    <w:rsid w:val="00055264"/>
    <w:rsid w:val="000663F7"/>
    <w:rsid w:val="000677B1"/>
    <w:rsid w:val="00070608"/>
    <w:rsid w:val="00075DDB"/>
    <w:rsid w:val="00082D97"/>
    <w:rsid w:val="00086CB5"/>
    <w:rsid w:val="00087554"/>
    <w:rsid w:val="0009064E"/>
    <w:rsid w:val="000907B5"/>
    <w:rsid w:val="000907CC"/>
    <w:rsid w:val="00091D9D"/>
    <w:rsid w:val="00097525"/>
    <w:rsid w:val="000A27DD"/>
    <w:rsid w:val="000B19F6"/>
    <w:rsid w:val="000C5A40"/>
    <w:rsid w:val="000D02BE"/>
    <w:rsid w:val="000D7157"/>
    <w:rsid w:val="000E1188"/>
    <w:rsid w:val="000E1490"/>
    <w:rsid w:val="000E5584"/>
    <w:rsid w:val="000E5E64"/>
    <w:rsid w:val="0010100D"/>
    <w:rsid w:val="00103C10"/>
    <w:rsid w:val="00104F83"/>
    <w:rsid w:val="00110E43"/>
    <w:rsid w:val="00112C2C"/>
    <w:rsid w:val="0012012B"/>
    <w:rsid w:val="0012072A"/>
    <w:rsid w:val="001352B4"/>
    <w:rsid w:val="00136900"/>
    <w:rsid w:val="0014209E"/>
    <w:rsid w:val="00145AC1"/>
    <w:rsid w:val="00163BC9"/>
    <w:rsid w:val="00166DDD"/>
    <w:rsid w:val="00181063"/>
    <w:rsid w:val="00182B91"/>
    <w:rsid w:val="001858CF"/>
    <w:rsid w:val="00185BF1"/>
    <w:rsid w:val="0018772B"/>
    <w:rsid w:val="0019509C"/>
    <w:rsid w:val="0019515C"/>
    <w:rsid w:val="001A500D"/>
    <w:rsid w:val="001A5711"/>
    <w:rsid w:val="001A6BD6"/>
    <w:rsid w:val="001B4998"/>
    <w:rsid w:val="001B4E87"/>
    <w:rsid w:val="001C57C2"/>
    <w:rsid w:val="001C671E"/>
    <w:rsid w:val="001C6E6D"/>
    <w:rsid w:val="001D41D9"/>
    <w:rsid w:val="001D47BC"/>
    <w:rsid w:val="001D7432"/>
    <w:rsid w:val="001E1B7E"/>
    <w:rsid w:val="002020DF"/>
    <w:rsid w:val="00211532"/>
    <w:rsid w:val="00214970"/>
    <w:rsid w:val="00214AE1"/>
    <w:rsid w:val="00214C91"/>
    <w:rsid w:val="00216052"/>
    <w:rsid w:val="00223014"/>
    <w:rsid w:val="00241658"/>
    <w:rsid w:val="002422C6"/>
    <w:rsid w:val="00245747"/>
    <w:rsid w:val="002475BE"/>
    <w:rsid w:val="00247EAC"/>
    <w:rsid w:val="002507EE"/>
    <w:rsid w:val="0025121F"/>
    <w:rsid w:val="00261DBB"/>
    <w:rsid w:val="00262B27"/>
    <w:rsid w:val="002675DC"/>
    <w:rsid w:val="00272BAC"/>
    <w:rsid w:val="00280015"/>
    <w:rsid w:val="00281BDE"/>
    <w:rsid w:val="00285CC4"/>
    <w:rsid w:val="00295DBE"/>
    <w:rsid w:val="00296EF2"/>
    <w:rsid w:val="002A2417"/>
    <w:rsid w:val="002A2638"/>
    <w:rsid w:val="002A3341"/>
    <w:rsid w:val="002C45B0"/>
    <w:rsid w:val="002D07C2"/>
    <w:rsid w:val="002D2365"/>
    <w:rsid w:val="002D3C7A"/>
    <w:rsid w:val="002D5199"/>
    <w:rsid w:val="002F32B2"/>
    <w:rsid w:val="0030235A"/>
    <w:rsid w:val="00312104"/>
    <w:rsid w:val="00312ED8"/>
    <w:rsid w:val="0031756F"/>
    <w:rsid w:val="0032460D"/>
    <w:rsid w:val="003254E0"/>
    <w:rsid w:val="00326037"/>
    <w:rsid w:val="003265F2"/>
    <w:rsid w:val="00331110"/>
    <w:rsid w:val="003454BD"/>
    <w:rsid w:val="00345A5A"/>
    <w:rsid w:val="00355FCD"/>
    <w:rsid w:val="00363720"/>
    <w:rsid w:val="0037024E"/>
    <w:rsid w:val="00375E96"/>
    <w:rsid w:val="003862B8"/>
    <w:rsid w:val="0039294A"/>
    <w:rsid w:val="00395852"/>
    <w:rsid w:val="003A0A2B"/>
    <w:rsid w:val="003B3798"/>
    <w:rsid w:val="003B61D4"/>
    <w:rsid w:val="003C14F0"/>
    <w:rsid w:val="003C765B"/>
    <w:rsid w:val="003D47A7"/>
    <w:rsid w:val="003F13FE"/>
    <w:rsid w:val="003F5C28"/>
    <w:rsid w:val="004058C1"/>
    <w:rsid w:val="00410EE7"/>
    <w:rsid w:val="00412C4A"/>
    <w:rsid w:val="004132A7"/>
    <w:rsid w:val="00422A2F"/>
    <w:rsid w:val="00425576"/>
    <w:rsid w:val="004258D6"/>
    <w:rsid w:val="004278EF"/>
    <w:rsid w:val="004365EF"/>
    <w:rsid w:val="00440919"/>
    <w:rsid w:val="004525AD"/>
    <w:rsid w:val="004607C1"/>
    <w:rsid w:val="00461DCC"/>
    <w:rsid w:val="0047151A"/>
    <w:rsid w:val="00473AA9"/>
    <w:rsid w:val="004749EC"/>
    <w:rsid w:val="004802BF"/>
    <w:rsid w:val="004873A2"/>
    <w:rsid w:val="004878ED"/>
    <w:rsid w:val="00487D32"/>
    <w:rsid w:val="00490311"/>
    <w:rsid w:val="004A0631"/>
    <w:rsid w:val="004A7992"/>
    <w:rsid w:val="004B0869"/>
    <w:rsid w:val="004B2A89"/>
    <w:rsid w:val="004B78ED"/>
    <w:rsid w:val="004C1A56"/>
    <w:rsid w:val="004C41DE"/>
    <w:rsid w:val="004D03D5"/>
    <w:rsid w:val="004D22AF"/>
    <w:rsid w:val="004D2CC0"/>
    <w:rsid w:val="004D42CB"/>
    <w:rsid w:val="004D7229"/>
    <w:rsid w:val="004D7921"/>
    <w:rsid w:val="004E3F95"/>
    <w:rsid w:val="004F6C0D"/>
    <w:rsid w:val="00504C17"/>
    <w:rsid w:val="00507CAE"/>
    <w:rsid w:val="00510366"/>
    <w:rsid w:val="005172E0"/>
    <w:rsid w:val="005207F1"/>
    <w:rsid w:val="00525BFF"/>
    <w:rsid w:val="005326C5"/>
    <w:rsid w:val="00533F12"/>
    <w:rsid w:val="00535378"/>
    <w:rsid w:val="0053674A"/>
    <w:rsid w:val="00541025"/>
    <w:rsid w:val="0054539A"/>
    <w:rsid w:val="00553421"/>
    <w:rsid w:val="0055518A"/>
    <w:rsid w:val="0055715E"/>
    <w:rsid w:val="0056014F"/>
    <w:rsid w:val="00566BE6"/>
    <w:rsid w:val="0057725F"/>
    <w:rsid w:val="00577BA6"/>
    <w:rsid w:val="0058237F"/>
    <w:rsid w:val="00583188"/>
    <w:rsid w:val="00583549"/>
    <w:rsid w:val="00594BCC"/>
    <w:rsid w:val="005A0B45"/>
    <w:rsid w:val="005A66B2"/>
    <w:rsid w:val="005B2EC5"/>
    <w:rsid w:val="005B5C1C"/>
    <w:rsid w:val="005B7010"/>
    <w:rsid w:val="005C04F7"/>
    <w:rsid w:val="005C58F9"/>
    <w:rsid w:val="005D08CF"/>
    <w:rsid w:val="005D095D"/>
    <w:rsid w:val="005D1D78"/>
    <w:rsid w:val="005D7EEE"/>
    <w:rsid w:val="005E1781"/>
    <w:rsid w:val="005E4240"/>
    <w:rsid w:val="005E5CFD"/>
    <w:rsid w:val="005E79EA"/>
    <w:rsid w:val="005F3A36"/>
    <w:rsid w:val="00601E6E"/>
    <w:rsid w:val="0061518B"/>
    <w:rsid w:val="00625122"/>
    <w:rsid w:val="00632F1A"/>
    <w:rsid w:val="00633EBF"/>
    <w:rsid w:val="00640600"/>
    <w:rsid w:val="006455B3"/>
    <w:rsid w:val="0064563E"/>
    <w:rsid w:val="00675F5F"/>
    <w:rsid w:val="00676823"/>
    <w:rsid w:val="00677FA8"/>
    <w:rsid w:val="0068022F"/>
    <w:rsid w:val="00680404"/>
    <w:rsid w:val="006813C0"/>
    <w:rsid w:val="00681EB0"/>
    <w:rsid w:val="00692A31"/>
    <w:rsid w:val="00692A58"/>
    <w:rsid w:val="006A047F"/>
    <w:rsid w:val="006A5EE5"/>
    <w:rsid w:val="006B175D"/>
    <w:rsid w:val="006B264F"/>
    <w:rsid w:val="006B572C"/>
    <w:rsid w:val="006B798C"/>
    <w:rsid w:val="006C7DA8"/>
    <w:rsid w:val="006D0945"/>
    <w:rsid w:val="006D3F5B"/>
    <w:rsid w:val="006D43D2"/>
    <w:rsid w:val="006D48DC"/>
    <w:rsid w:val="006E2D05"/>
    <w:rsid w:val="006E4539"/>
    <w:rsid w:val="006E5510"/>
    <w:rsid w:val="006F4165"/>
    <w:rsid w:val="006F54C1"/>
    <w:rsid w:val="00701BCB"/>
    <w:rsid w:val="00705222"/>
    <w:rsid w:val="007056D1"/>
    <w:rsid w:val="0071111F"/>
    <w:rsid w:val="007125EF"/>
    <w:rsid w:val="007161C3"/>
    <w:rsid w:val="00724972"/>
    <w:rsid w:val="00725C3E"/>
    <w:rsid w:val="00726BC9"/>
    <w:rsid w:val="00727A8E"/>
    <w:rsid w:val="00730366"/>
    <w:rsid w:val="0073053A"/>
    <w:rsid w:val="0076524B"/>
    <w:rsid w:val="00771B3B"/>
    <w:rsid w:val="00772BFE"/>
    <w:rsid w:val="00776C6D"/>
    <w:rsid w:val="00777C6B"/>
    <w:rsid w:val="00781A25"/>
    <w:rsid w:val="0078240E"/>
    <w:rsid w:val="00784DAB"/>
    <w:rsid w:val="00786DD6"/>
    <w:rsid w:val="00796880"/>
    <w:rsid w:val="007A4425"/>
    <w:rsid w:val="007A686A"/>
    <w:rsid w:val="007B3A9A"/>
    <w:rsid w:val="007B50CC"/>
    <w:rsid w:val="007C1C75"/>
    <w:rsid w:val="007E2A6F"/>
    <w:rsid w:val="007E39C1"/>
    <w:rsid w:val="007F0655"/>
    <w:rsid w:val="007F31FE"/>
    <w:rsid w:val="00801441"/>
    <w:rsid w:val="008037CE"/>
    <w:rsid w:val="00803D9E"/>
    <w:rsid w:val="008201BA"/>
    <w:rsid w:val="008204C3"/>
    <w:rsid w:val="00820505"/>
    <w:rsid w:val="00821BE2"/>
    <w:rsid w:val="00824B9C"/>
    <w:rsid w:val="008252A6"/>
    <w:rsid w:val="00827AF3"/>
    <w:rsid w:val="0083348F"/>
    <w:rsid w:val="00833EF4"/>
    <w:rsid w:val="008412C3"/>
    <w:rsid w:val="00843907"/>
    <w:rsid w:val="008520EF"/>
    <w:rsid w:val="0085529A"/>
    <w:rsid w:val="008607EA"/>
    <w:rsid w:val="0086129F"/>
    <w:rsid w:val="0086219F"/>
    <w:rsid w:val="00862838"/>
    <w:rsid w:val="00867CE6"/>
    <w:rsid w:val="00871138"/>
    <w:rsid w:val="00873FF7"/>
    <w:rsid w:val="008746C9"/>
    <w:rsid w:val="008751D3"/>
    <w:rsid w:val="00880747"/>
    <w:rsid w:val="008836D7"/>
    <w:rsid w:val="0089034F"/>
    <w:rsid w:val="008A0150"/>
    <w:rsid w:val="008A3E1B"/>
    <w:rsid w:val="008A6B17"/>
    <w:rsid w:val="008C3F7E"/>
    <w:rsid w:val="008C56EF"/>
    <w:rsid w:val="008C6B53"/>
    <w:rsid w:val="008D1C4D"/>
    <w:rsid w:val="008E6351"/>
    <w:rsid w:val="008E7606"/>
    <w:rsid w:val="008E7F78"/>
    <w:rsid w:val="008F5540"/>
    <w:rsid w:val="008F6F9A"/>
    <w:rsid w:val="008F778B"/>
    <w:rsid w:val="008F798D"/>
    <w:rsid w:val="00900A38"/>
    <w:rsid w:val="009023D2"/>
    <w:rsid w:val="00904AF8"/>
    <w:rsid w:val="00916AC4"/>
    <w:rsid w:val="00920BC9"/>
    <w:rsid w:val="00921457"/>
    <w:rsid w:val="00923FDD"/>
    <w:rsid w:val="009267DD"/>
    <w:rsid w:val="00926DE7"/>
    <w:rsid w:val="00932CBD"/>
    <w:rsid w:val="00934941"/>
    <w:rsid w:val="009378B3"/>
    <w:rsid w:val="00942408"/>
    <w:rsid w:val="009524AA"/>
    <w:rsid w:val="00953ECD"/>
    <w:rsid w:val="00971B6D"/>
    <w:rsid w:val="0098292E"/>
    <w:rsid w:val="00983915"/>
    <w:rsid w:val="0098780A"/>
    <w:rsid w:val="00991B18"/>
    <w:rsid w:val="0099381A"/>
    <w:rsid w:val="009A02DE"/>
    <w:rsid w:val="009A1520"/>
    <w:rsid w:val="009A67A6"/>
    <w:rsid w:val="009A73E1"/>
    <w:rsid w:val="009B1BEA"/>
    <w:rsid w:val="009B4F30"/>
    <w:rsid w:val="009B5978"/>
    <w:rsid w:val="009C612E"/>
    <w:rsid w:val="009E08E1"/>
    <w:rsid w:val="009E5D33"/>
    <w:rsid w:val="009F05B8"/>
    <w:rsid w:val="00A046D3"/>
    <w:rsid w:val="00A04A14"/>
    <w:rsid w:val="00A06137"/>
    <w:rsid w:val="00A13E37"/>
    <w:rsid w:val="00A154D6"/>
    <w:rsid w:val="00A16D0F"/>
    <w:rsid w:val="00A20FAD"/>
    <w:rsid w:val="00A2563E"/>
    <w:rsid w:val="00A264A5"/>
    <w:rsid w:val="00A34BA7"/>
    <w:rsid w:val="00A50F61"/>
    <w:rsid w:val="00A522D5"/>
    <w:rsid w:val="00A60DC8"/>
    <w:rsid w:val="00A6709B"/>
    <w:rsid w:val="00A716B0"/>
    <w:rsid w:val="00A7528A"/>
    <w:rsid w:val="00A86BB9"/>
    <w:rsid w:val="00A9381A"/>
    <w:rsid w:val="00A94FC2"/>
    <w:rsid w:val="00A95A70"/>
    <w:rsid w:val="00A97ACA"/>
    <w:rsid w:val="00AA0527"/>
    <w:rsid w:val="00AA225E"/>
    <w:rsid w:val="00AA4ABB"/>
    <w:rsid w:val="00AA5F0B"/>
    <w:rsid w:val="00AA671E"/>
    <w:rsid w:val="00AA76E3"/>
    <w:rsid w:val="00AB023E"/>
    <w:rsid w:val="00AB2E50"/>
    <w:rsid w:val="00AC4B59"/>
    <w:rsid w:val="00AD23C0"/>
    <w:rsid w:val="00AD3821"/>
    <w:rsid w:val="00AD52CA"/>
    <w:rsid w:val="00AE4ED7"/>
    <w:rsid w:val="00AE5721"/>
    <w:rsid w:val="00AE7CA6"/>
    <w:rsid w:val="00B02F06"/>
    <w:rsid w:val="00B41A25"/>
    <w:rsid w:val="00B424C2"/>
    <w:rsid w:val="00B60F10"/>
    <w:rsid w:val="00B63B74"/>
    <w:rsid w:val="00B64332"/>
    <w:rsid w:val="00B6567A"/>
    <w:rsid w:val="00B66C60"/>
    <w:rsid w:val="00B70F72"/>
    <w:rsid w:val="00B756CA"/>
    <w:rsid w:val="00B75840"/>
    <w:rsid w:val="00B77741"/>
    <w:rsid w:val="00B777B2"/>
    <w:rsid w:val="00BA0EFF"/>
    <w:rsid w:val="00BA1B98"/>
    <w:rsid w:val="00BB224F"/>
    <w:rsid w:val="00BB355A"/>
    <w:rsid w:val="00BB50B6"/>
    <w:rsid w:val="00BC119A"/>
    <w:rsid w:val="00BC45B3"/>
    <w:rsid w:val="00BD1C06"/>
    <w:rsid w:val="00BD1F3D"/>
    <w:rsid w:val="00BD6D4A"/>
    <w:rsid w:val="00BE2607"/>
    <w:rsid w:val="00BE2D4B"/>
    <w:rsid w:val="00BE3F8C"/>
    <w:rsid w:val="00BF6752"/>
    <w:rsid w:val="00BF73B0"/>
    <w:rsid w:val="00C03B09"/>
    <w:rsid w:val="00C03EB4"/>
    <w:rsid w:val="00C048EC"/>
    <w:rsid w:val="00C1677C"/>
    <w:rsid w:val="00C20549"/>
    <w:rsid w:val="00C21A41"/>
    <w:rsid w:val="00C24C1C"/>
    <w:rsid w:val="00C25F00"/>
    <w:rsid w:val="00C35922"/>
    <w:rsid w:val="00C37511"/>
    <w:rsid w:val="00C42379"/>
    <w:rsid w:val="00C508B7"/>
    <w:rsid w:val="00C531CC"/>
    <w:rsid w:val="00C53DAA"/>
    <w:rsid w:val="00C54A5F"/>
    <w:rsid w:val="00C576D1"/>
    <w:rsid w:val="00C60466"/>
    <w:rsid w:val="00C634DD"/>
    <w:rsid w:val="00C81EF4"/>
    <w:rsid w:val="00C91CD4"/>
    <w:rsid w:val="00CB416A"/>
    <w:rsid w:val="00CC39D6"/>
    <w:rsid w:val="00CC3DAD"/>
    <w:rsid w:val="00CE051F"/>
    <w:rsid w:val="00CE124B"/>
    <w:rsid w:val="00CE1D43"/>
    <w:rsid w:val="00CE38F0"/>
    <w:rsid w:val="00CE5607"/>
    <w:rsid w:val="00CE710C"/>
    <w:rsid w:val="00CF136A"/>
    <w:rsid w:val="00CF2F6A"/>
    <w:rsid w:val="00CF30E0"/>
    <w:rsid w:val="00CF36DD"/>
    <w:rsid w:val="00CF50EB"/>
    <w:rsid w:val="00D00C03"/>
    <w:rsid w:val="00D02FE5"/>
    <w:rsid w:val="00D03100"/>
    <w:rsid w:val="00D06F03"/>
    <w:rsid w:val="00D14FAE"/>
    <w:rsid w:val="00D25286"/>
    <w:rsid w:val="00D271E3"/>
    <w:rsid w:val="00D314D3"/>
    <w:rsid w:val="00D31CA4"/>
    <w:rsid w:val="00D37225"/>
    <w:rsid w:val="00D4050F"/>
    <w:rsid w:val="00D41E4F"/>
    <w:rsid w:val="00D431E8"/>
    <w:rsid w:val="00D45E79"/>
    <w:rsid w:val="00D56309"/>
    <w:rsid w:val="00D579D6"/>
    <w:rsid w:val="00D57AF8"/>
    <w:rsid w:val="00D63058"/>
    <w:rsid w:val="00D64C42"/>
    <w:rsid w:val="00D67622"/>
    <w:rsid w:val="00D771B6"/>
    <w:rsid w:val="00D855F6"/>
    <w:rsid w:val="00D877F7"/>
    <w:rsid w:val="00D87D4A"/>
    <w:rsid w:val="00D96F35"/>
    <w:rsid w:val="00DA07D1"/>
    <w:rsid w:val="00DA4924"/>
    <w:rsid w:val="00DA6936"/>
    <w:rsid w:val="00DA69C6"/>
    <w:rsid w:val="00DB17DA"/>
    <w:rsid w:val="00DB3B5F"/>
    <w:rsid w:val="00DB7126"/>
    <w:rsid w:val="00DC0D78"/>
    <w:rsid w:val="00DC54F8"/>
    <w:rsid w:val="00DD3C2F"/>
    <w:rsid w:val="00DD4787"/>
    <w:rsid w:val="00DD7D38"/>
    <w:rsid w:val="00DF0213"/>
    <w:rsid w:val="00E00F17"/>
    <w:rsid w:val="00E07DCD"/>
    <w:rsid w:val="00E11077"/>
    <w:rsid w:val="00E11E72"/>
    <w:rsid w:val="00E22F66"/>
    <w:rsid w:val="00E32C72"/>
    <w:rsid w:val="00E35D92"/>
    <w:rsid w:val="00E405D0"/>
    <w:rsid w:val="00E446AF"/>
    <w:rsid w:val="00E52991"/>
    <w:rsid w:val="00E56E6C"/>
    <w:rsid w:val="00E57A19"/>
    <w:rsid w:val="00E7307F"/>
    <w:rsid w:val="00E820D6"/>
    <w:rsid w:val="00E82B31"/>
    <w:rsid w:val="00E82F0F"/>
    <w:rsid w:val="00E83970"/>
    <w:rsid w:val="00E84DE7"/>
    <w:rsid w:val="00E93EB0"/>
    <w:rsid w:val="00EA66D6"/>
    <w:rsid w:val="00EB1266"/>
    <w:rsid w:val="00EB25B8"/>
    <w:rsid w:val="00EB3C7F"/>
    <w:rsid w:val="00EC2A6F"/>
    <w:rsid w:val="00EC3469"/>
    <w:rsid w:val="00EC5EF0"/>
    <w:rsid w:val="00EC6263"/>
    <w:rsid w:val="00ED0520"/>
    <w:rsid w:val="00ED0D8C"/>
    <w:rsid w:val="00ED7F75"/>
    <w:rsid w:val="00EE1FA3"/>
    <w:rsid w:val="00EF7E58"/>
    <w:rsid w:val="00F05108"/>
    <w:rsid w:val="00F07C30"/>
    <w:rsid w:val="00F11A0E"/>
    <w:rsid w:val="00F16ECF"/>
    <w:rsid w:val="00F205F8"/>
    <w:rsid w:val="00F22535"/>
    <w:rsid w:val="00F23C2A"/>
    <w:rsid w:val="00F32D27"/>
    <w:rsid w:val="00F41349"/>
    <w:rsid w:val="00F43C06"/>
    <w:rsid w:val="00F62FC1"/>
    <w:rsid w:val="00F64877"/>
    <w:rsid w:val="00F6507F"/>
    <w:rsid w:val="00F65DEC"/>
    <w:rsid w:val="00F672D3"/>
    <w:rsid w:val="00F7377D"/>
    <w:rsid w:val="00F73A24"/>
    <w:rsid w:val="00F8260B"/>
    <w:rsid w:val="00F84A94"/>
    <w:rsid w:val="00F86888"/>
    <w:rsid w:val="00F93F23"/>
    <w:rsid w:val="00F9437B"/>
    <w:rsid w:val="00F97B17"/>
    <w:rsid w:val="00F97C97"/>
    <w:rsid w:val="00FA0154"/>
    <w:rsid w:val="00FA502F"/>
    <w:rsid w:val="00FA59F1"/>
    <w:rsid w:val="00FA6801"/>
    <w:rsid w:val="00FB3EA3"/>
    <w:rsid w:val="00FD0AA2"/>
    <w:rsid w:val="00FF1826"/>
    <w:rsid w:val="00FF1FDB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326B6"/>
  <w15:chartTrackingRefBased/>
  <w15:docId w15:val="{CDE629A9-BE27-9F4C-AE79-E82B41B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5B8"/>
    <w:rPr>
      <w:sz w:val="24"/>
      <w:szCs w:val="24"/>
      <w:lang w:val="hr-HR"/>
    </w:rPr>
  </w:style>
  <w:style w:type="paragraph" w:styleId="Naslov1">
    <w:name w:val="heading 1"/>
    <w:basedOn w:val="Normal"/>
    <w:qFormat/>
    <w:rsid w:val="00F205F8"/>
    <w:pPr>
      <w:keepNext/>
      <w:ind w:left="720"/>
      <w:jc w:val="both"/>
      <w:outlineLvl w:val="0"/>
    </w:pPr>
    <w:rPr>
      <w:b/>
      <w:bCs/>
      <w:kern w:val="36"/>
    </w:rPr>
  </w:style>
  <w:style w:type="paragraph" w:styleId="Naslov2">
    <w:name w:val="heading 2"/>
    <w:basedOn w:val="Normal"/>
    <w:qFormat/>
    <w:rsid w:val="00F205F8"/>
    <w:pPr>
      <w:keepNext/>
      <w:ind w:left="1440" w:firstLine="720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qFormat/>
    <w:rsid w:val="00F205F8"/>
    <w:pPr>
      <w:keepNext/>
      <w:ind w:firstLine="720"/>
      <w:outlineLvl w:val="2"/>
    </w:pPr>
    <w:rPr>
      <w:b/>
      <w:bCs/>
      <w:u w:val="single"/>
    </w:rPr>
  </w:style>
  <w:style w:type="paragraph" w:styleId="Naslov4">
    <w:name w:val="heading 4"/>
    <w:basedOn w:val="Normal"/>
    <w:qFormat/>
    <w:rsid w:val="00F205F8"/>
    <w:pPr>
      <w:keepNext/>
      <w:ind w:left="720"/>
      <w:outlineLvl w:val="3"/>
    </w:pPr>
    <w:rPr>
      <w:b/>
      <w:bCs/>
      <w:u w:val="single"/>
    </w:rPr>
  </w:style>
  <w:style w:type="paragraph" w:styleId="Naslov5">
    <w:name w:val="heading 5"/>
    <w:basedOn w:val="Normal"/>
    <w:qFormat/>
    <w:rsid w:val="00F205F8"/>
    <w:pPr>
      <w:keepNext/>
      <w:ind w:left="720"/>
      <w:jc w:val="both"/>
      <w:outlineLvl w:val="4"/>
    </w:pPr>
    <w:rPr>
      <w:b/>
      <w:bCs/>
      <w:i/>
      <w:iCs/>
      <w:u w:val="single"/>
    </w:rPr>
  </w:style>
  <w:style w:type="paragraph" w:styleId="Naslov6">
    <w:name w:val="heading 6"/>
    <w:basedOn w:val="Normal"/>
    <w:qFormat/>
    <w:rsid w:val="00F205F8"/>
    <w:pPr>
      <w:keepNext/>
      <w:ind w:left="720"/>
      <w:jc w:val="both"/>
      <w:outlineLvl w:val="5"/>
    </w:pPr>
    <w:rPr>
      <w:i/>
      <w:iCs/>
      <w:u w:val="single"/>
    </w:rPr>
  </w:style>
  <w:style w:type="paragraph" w:styleId="Naslov7">
    <w:name w:val="heading 7"/>
    <w:basedOn w:val="Normal"/>
    <w:qFormat/>
    <w:rsid w:val="00F205F8"/>
    <w:pPr>
      <w:keepNext/>
      <w:outlineLvl w:val="6"/>
    </w:pPr>
    <w:rPr>
      <w:i/>
      <w:iCs/>
      <w:u w:val="single"/>
    </w:rPr>
  </w:style>
  <w:style w:type="paragraph" w:styleId="Naslov8">
    <w:name w:val="heading 8"/>
    <w:basedOn w:val="Normal"/>
    <w:qFormat/>
    <w:rsid w:val="00F205F8"/>
    <w:pPr>
      <w:keepNext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utlineLvl w:val="7"/>
    </w:pPr>
    <w:rPr>
      <w:b/>
      <w:bCs/>
    </w:rPr>
  </w:style>
  <w:style w:type="paragraph" w:styleId="Naslov9">
    <w:name w:val="heading 9"/>
    <w:basedOn w:val="Normal"/>
    <w:qFormat/>
    <w:rsid w:val="00F205F8"/>
    <w:pPr>
      <w:keepNext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outlineLvl w:val="8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205F8"/>
  </w:style>
  <w:style w:type="paragraph" w:styleId="Naslov">
    <w:name w:val="Title"/>
    <w:basedOn w:val="Normal"/>
    <w:qFormat/>
    <w:rsid w:val="00F205F8"/>
    <w:pPr>
      <w:jc w:val="center"/>
    </w:pPr>
    <w:rPr>
      <w:b/>
      <w:bCs/>
    </w:rPr>
  </w:style>
  <w:style w:type="paragraph" w:styleId="Tijeloteksta">
    <w:name w:val="Body Text"/>
    <w:basedOn w:val="Normal"/>
    <w:rsid w:val="00F205F8"/>
    <w:pPr>
      <w:jc w:val="both"/>
    </w:pPr>
  </w:style>
  <w:style w:type="paragraph" w:styleId="Uvuenotijeloteksta">
    <w:name w:val="Body Text Indent"/>
    <w:basedOn w:val="Normal"/>
    <w:rsid w:val="00F205F8"/>
    <w:pPr>
      <w:ind w:firstLine="720"/>
      <w:jc w:val="both"/>
    </w:pPr>
  </w:style>
  <w:style w:type="paragraph" w:styleId="Tijeloteksta-uvlaka3">
    <w:name w:val="Body Text Indent 3"/>
    <w:basedOn w:val="Normal"/>
    <w:rsid w:val="00F205F8"/>
    <w:pPr>
      <w:ind w:left="360"/>
    </w:pPr>
  </w:style>
  <w:style w:type="paragraph" w:styleId="Opisslike">
    <w:name w:val="caption"/>
    <w:basedOn w:val="Normal"/>
    <w:next w:val="Normal"/>
    <w:qFormat/>
    <w:rsid w:val="00422A2F"/>
    <w:pPr>
      <w:ind w:left="-284"/>
    </w:pPr>
    <w:rPr>
      <w:b/>
      <w:bCs/>
      <w:sz w:val="22"/>
    </w:rPr>
  </w:style>
  <w:style w:type="table" w:styleId="Reetkatablice">
    <w:name w:val="Table Grid"/>
    <w:basedOn w:val="Obinatablica"/>
    <w:rsid w:val="0080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D52CA"/>
    <w:rPr>
      <w:rFonts w:ascii="Tahoma" w:hAnsi="Tahoma" w:cs="Tahoma"/>
      <w:sz w:val="16"/>
      <w:szCs w:val="16"/>
    </w:rPr>
  </w:style>
  <w:style w:type="paragraph" w:customStyle="1" w:styleId="Style">
    <w:name w:val="Style"/>
    <w:rsid w:val="0055715E"/>
    <w:pPr>
      <w:autoSpaceDE w:val="0"/>
      <w:autoSpaceDN w:val="0"/>
      <w:adjustRightInd w:val="0"/>
    </w:pPr>
    <w:rPr>
      <w:sz w:val="24"/>
      <w:szCs w:val="24"/>
    </w:rPr>
  </w:style>
  <w:style w:type="paragraph" w:styleId="Tijeloteksta2">
    <w:name w:val="Body Text 2"/>
    <w:basedOn w:val="Normal"/>
    <w:link w:val="Tijeloteksta2Char"/>
    <w:rsid w:val="00EB25B8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EB25B8"/>
    <w:rPr>
      <w:sz w:val="24"/>
      <w:szCs w:val="24"/>
    </w:rPr>
  </w:style>
  <w:style w:type="paragraph" w:styleId="Bezproreda">
    <w:name w:val="No Spacing"/>
    <w:uiPriority w:val="1"/>
    <w:qFormat/>
    <w:rsid w:val="00EB25B8"/>
    <w:rPr>
      <w:sz w:val="24"/>
      <w:szCs w:val="24"/>
      <w:lang w:val="hr-HR"/>
    </w:rPr>
  </w:style>
  <w:style w:type="table" w:customStyle="1" w:styleId="TableGrid1">
    <w:name w:val="Table Grid1"/>
    <w:basedOn w:val="Obinatablica"/>
    <w:next w:val="Reetkatablice"/>
    <w:uiPriority w:val="59"/>
    <w:rsid w:val="006456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54C1"/>
    <w:pPr>
      <w:ind w:left="720"/>
    </w:pPr>
  </w:style>
  <w:style w:type="character" w:styleId="Referencakomentara">
    <w:name w:val="annotation reference"/>
    <w:rsid w:val="00CF50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F50EB"/>
    <w:rPr>
      <w:sz w:val="20"/>
      <w:szCs w:val="20"/>
    </w:rPr>
  </w:style>
  <w:style w:type="character" w:customStyle="1" w:styleId="TekstkomentaraChar">
    <w:name w:val="Tekst komentara Char"/>
    <w:link w:val="Tekstkomentara"/>
    <w:rsid w:val="00CF50EB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CF50EB"/>
    <w:rPr>
      <w:b/>
      <w:bCs/>
    </w:rPr>
  </w:style>
  <w:style w:type="character" w:customStyle="1" w:styleId="PredmetkomentaraChar">
    <w:name w:val="Predmet komentara Char"/>
    <w:link w:val="Predmetkomentara"/>
    <w:rsid w:val="00CF50EB"/>
    <w:rPr>
      <w:b/>
      <w:bCs/>
      <w:lang w:val="hr-HR"/>
    </w:rPr>
  </w:style>
  <w:style w:type="paragraph" w:styleId="Podnoje">
    <w:name w:val="footer"/>
    <w:basedOn w:val="Normal"/>
    <w:link w:val="PodnojeChar"/>
    <w:uiPriority w:val="99"/>
    <w:rsid w:val="00BA0EF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BA0EFF"/>
    <w:rPr>
      <w:sz w:val="24"/>
      <w:szCs w:val="24"/>
      <w:lang w:val="hr-HR"/>
    </w:rPr>
  </w:style>
  <w:style w:type="character" w:customStyle="1" w:styleId="a">
    <w:name w:val="a_"/>
    <w:rsid w:val="00D771B6"/>
  </w:style>
  <w:style w:type="table" w:customStyle="1" w:styleId="Reetkatablice1">
    <w:name w:val="Rešetka tablice1"/>
    <w:basedOn w:val="Obinatablica"/>
    <w:next w:val="Reetkatablice"/>
    <w:uiPriority w:val="59"/>
    <w:rsid w:val="00CF36DD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3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2022/Session-637846538165896422/SessionItem-637846571981120042/9gv-Zaključak o prihvaćanju izvješća o realizaciji Programa upravljanja objektima u vlasništvu grada 2021.docx|1050;#Ø;#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17BAED39-A15D-4A15-8C66-8D2982AE95DB}"/>
</file>

<file path=customXml/itemProps2.xml><?xml version="1.0" encoding="utf-8"?>
<ds:datastoreItem xmlns:ds="http://schemas.openxmlformats.org/officeDocument/2006/customXml" ds:itemID="{659BFB8A-5AC5-4CED-B70C-D7E95E17F4F4}"/>
</file>

<file path=customXml/itemProps3.xml><?xml version="1.0" encoding="utf-8"?>
<ds:datastoreItem xmlns:ds="http://schemas.openxmlformats.org/officeDocument/2006/customXml" ds:itemID="{BB43D711-30D6-4301-BB09-CF0A376EEFB5}"/>
</file>

<file path=customXml/itemProps4.xml><?xml version="1.0" encoding="utf-8"?>
<ds:datastoreItem xmlns:ds="http://schemas.openxmlformats.org/officeDocument/2006/customXml" ds:itemID="{E61E8997-D2E3-4D70-AFB3-3C61FBF06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Komanac</dc:creator>
  <cp:keywords/>
  <cp:lastModifiedBy>Višnja Jurković</cp:lastModifiedBy>
  <cp:revision>2</cp:revision>
  <cp:lastPrinted>2021-12-07T12:02:00Z</cp:lastPrinted>
  <dcterms:created xsi:type="dcterms:W3CDTF">2022-04-01T08:30:00Z</dcterms:created>
  <dcterms:modified xsi:type="dcterms:W3CDTF">2022-04-01T08:30:00Z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